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276"/>
      </w:pPr>
      <w:r>
        <w:rPr>
          <w:b/>
          <w:bCs/>
        </w:rPr>
        <w:t xml:space="preserve">WITHOUT PREJUDICE AND SUBJECT TO CONTRACT</w:t>
      </w:r>
    </w:p>
    <w:p>
      <w:pPr>
        <w:spacing w:after="120" w:line="276"/>
      </w:pPr>
      <w:r>
        <w:rPr>
          <w:b/>
          <w:bCs/>
        </w:rPr>
        <w:t xml:space="preserve">PROTECTED CONVERSATION – SECTION 111A EMPLOYMENT RIGHTS ACT 1996</w:t>
      </w:r>
    </w:p>
    <w:p>
      <w:pPr>
        <w:spacing w:after="120" w:line="276"/>
      </w:pPr>
      <w:r>
        <w:t xml:space="preserve"/>
      </w:r>
    </w:p>
    <w:p>
      <w:pPr>
        <w:spacing w:after="120" w:line="276"/>
      </w:pPr>
      <w:r>
        <w:t xml:space="preserve">Eleanor Bartlett</w:t>
      </w:r>
    </w:p>
    <w:p>
      <w:pPr>
        <w:spacing w:after="120" w:line="276"/>
      </w:pPr>
      <w:r>
        <w:t xml:space="preserve">Ashworth Quinn LLP</w:t>
      </w:r>
    </w:p>
    <w:p>
      <w:pPr>
        <w:spacing w:after="120" w:line="276"/>
      </w:pPr>
      <w:r>
        <w:t xml:space="preserve">By email: eleanor.bartlett@ashworthquinn.com</w:t>
      </w:r>
    </w:p>
    <w:p>
      <w:pPr>
        <w:spacing w:after="120" w:line="276"/>
      </w:pPr>
      <w:r>
        <w:t xml:space="preserve"/>
      </w:r>
    </w:p>
    <w:p>
      <w:pPr>
        <w:spacing w:after="120" w:line="276"/>
      </w:pPr>
      <w:r>
        <w:rPr>
          <w:b/>
          <w:bCs/>
        </w:rPr>
        <w:t xml:space="preserve">Our ref: </w:t>
      </w:r>
      <w:r>
        <w:t xml:space="preserve">SJW/TG/WC-00130     Date: 30 January 2026</w:t>
      </w:r>
    </w:p>
    <w:p>
      <w:pPr>
        <w:spacing w:after="120" w:line="276"/>
      </w:pPr>
      <w:r>
        <w:t xml:space="preserve"/>
      </w:r>
    </w:p>
    <w:p>
      <w:pPr>
        <w:spacing w:after="120" w:line="276"/>
      </w:pPr>
      <w:r>
        <w:t xml:space="preserve">Dear Ms Bartlett</w:t>
      </w:r>
    </w:p>
    <w:p>
      <w:pPr>
        <w:spacing w:after="120" w:line="276"/>
      </w:pPr>
      <w:r>
        <w:rPr>
          <w:b/>
          <w:bCs/>
        </w:rPr>
        <w:t xml:space="preserve">Geoffrey Hartnell and Bracken Group plc</w:t>
      </w:r>
    </w:p>
    <w:p>
      <w:pPr>
        <w:spacing w:after="120" w:line="276"/>
      </w:pPr>
      <w:r>
        <w:t xml:space="preserve">We act for Bracken Group plc. We understand that you act for Mr Geoffrey Hartnell. This letter is written on a without prejudice basis and as part of a protected conversation within the meaning of section 111A of the Employment Rights Act 1996. It is not to be referred to in any proceedings save as permitted by that section.</w:t>
      </w:r>
    </w:p>
    <w:p>
      <w:pPr>
        <w:spacing w:after="120" w:line="276"/>
      </w:pPr>
      <w:r>
        <w:t xml:space="preserve">As you will be aware, the Company is undertaking a reorganisation of its operations function following the integration of the Helix Logistics and Greaves businesses. In that context the Company has been reviewing the future shape of its senior operations leadership. The Company recognises Mr Hartnell's long and valuable service and wishes, if possible, to bring his employment to a dignified and consensual conclusion rather than through a contested process.</w:t>
      </w:r>
    </w:p>
    <w:p>
      <w:pPr>
        <w:spacing w:after="120" w:line="276"/>
      </w:pPr>
      <w:r>
        <w:t xml:space="preserve">Accordingly, and strictly without prejudice, the Company is prepared to offer the following terms in full and final settlement of all claims arising out of or in connection with Mr Hartnell's employment and its termination:</w:t>
      </w:r>
    </w:p>
    <w:p>
      <w:pPr>
        <w:pStyle w:val="ListParagraph"/>
        <w:numPr>
          <w:ilvl w:val="0"/>
          <w:numId w:val="2"/>
        </w:numPr>
        <w:spacing w:after="80" w:line="276"/>
      </w:pPr>
      <w:r>
        <w:t xml:space="preserve">a termination payment of £180,000, of which the first £30,000 would be paid free of deductions under sections 401–403 of the Income Tax (Earnings and Pensions) Act 2003 and the balance subject to deductions for income tax and National Insurance;</w:t>
      </w:r>
    </w:p>
    <w:p>
      <w:pPr>
        <w:pStyle w:val="ListParagraph"/>
        <w:numPr>
          <w:ilvl w:val="0"/>
          <w:numId w:val="2"/>
        </w:numPr>
        <w:spacing w:after="80" w:line="276"/>
      </w:pPr>
      <w:r>
        <w:t xml:space="preserve">payment of accrued but untaken holiday and salary to the Termination Date in the usual way;</w:t>
      </w:r>
    </w:p>
    <w:p>
      <w:pPr>
        <w:pStyle w:val="ListParagraph"/>
        <w:numPr>
          <w:ilvl w:val="0"/>
          <w:numId w:val="2"/>
        </w:numPr>
        <w:spacing w:after="80" w:line="276"/>
      </w:pPr>
      <w:r>
        <w:t xml:space="preserve">provision of an agreed form of reference and an agreed internal and external announcement;</w:t>
      </w:r>
    </w:p>
    <w:p>
      <w:pPr>
        <w:pStyle w:val="ListParagraph"/>
        <w:numPr>
          <w:ilvl w:val="0"/>
          <w:numId w:val="2"/>
        </w:numPr>
        <w:spacing w:after="80" w:line="276"/>
      </w:pPr>
      <w:r>
        <w:t xml:space="preserve">continuation of private medical cover for a period of three months following the Termination Date;</w:t>
      </w:r>
    </w:p>
    <w:p>
      <w:pPr>
        <w:pStyle w:val="ListParagraph"/>
        <w:numPr>
          <w:ilvl w:val="0"/>
          <w:numId w:val="2"/>
        </w:numPr>
        <w:spacing w:after="80" w:line="276"/>
      </w:pPr>
      <w:r>
        <w:t xml:space="preserve">a contribution of £1,250 plus VAT towards Mr Hartnell's legal costs of advising on the settlement agreement; and</w:t>
      </w:r>
    </w:p>
    <w:p>
      <w:pPr>
        <w:pStyle w:val="ListParagraph"/>
        <w:numPr>
          <w:ilvl w:val="0"/>
          <w:numId w:val="2"/>
        </w:numPr>
        <w:spacing w:after="80" w:line="276"/>
      </w:pPr>
      <w:r>
        <w:t xml:space="preserve">mutual confidentiality and non-derogatory undertakings, and a reaffirmation of Mr Hartnell's post-termination obligations (reduced to six months).</w:t>
      </w:r>
    </w:p>
    <w:p>
      <w:pPr>
        <w:spacing w:after="120" w:line="276"/>
      </w:pPr>
      <w:r>
        <w:t xml:space="preserve">This offer is open for acceptance for fourteen days from the date of this letter, after which it is withdrawn without further notice. The offer is made on the express basis that it is conditional upon the execution of a settlement agreement in a form satisfactory to the Company and upon Mr Hartnell receiving independent legal advice as required by section 203 of the Employment Rights Act 1996.</w:t>
      </w:r>
    </w:p>
    <w:p>
      <w:pPr>
        <w:spacing w:after="120" w:line="276"/>
      </w:pPr>
      <w:r>
        <w:t xml:space="preserve">We look forward to hearing from you. We are, of course, willing to discuss the terms by telephone if that would assist.</w:t>
      </w:r>
    </w:p>
    <w:p>
      <w:pPr>
        <w:spacing w:after="120" w:line="276"/>
      </w:pPr>
      <w:r>
        <w:t xml:space="preserve"/>
      </w:r>
    </w:p>
    <w:p>
      <w:pPr>
        <w:spacing w:after="120" w:line="276"/>
      </w:pPr>
      <w:r>
        <w:t xml:space="preserve">Yours sincerely</w:t>
      </w:r>
    </w:p>
    <w:p>
      <w:pPr>
        <w:spacing w:after="120" w:line="276"/>
      </w:pPr>
      <w:r>
        <w:t xml:space="preserve"/>
      </w:r>
    </w:p>
    <w:p>
      <w:pPr>
        <w:spacing w:after="120" w:line="276"/>
      </w:pPr>
      <w:r>
        <w:rPr>
          <w:b/>
          <w:bCs/>
        </w:rPr>
        <w:t xml:space="preserve">Tom Gallagher</w:t>
      </w:r>
    </w:p>
    <w:p>
      <w:pPr>
        <w:spacing w:after="120" w:line="276"/>
      </w:pPr>
      <w:r>
        <w:t xml:space="preserve">Associate | Employment</w:t>
      </w:r>
    </w:p>
    <w:p>
      <w:pPr>
        <w:spacing w:after="120" w:line="276"/>
      </w:pPr>
      <w:r>
        <w:t xml:space="preserve">for and on behalf of Whitfield Carter LLP</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026"/>
      </w:tabs>
      <w:spacing w:before="60"/>
    </w:pPr>
    <w:r>
      <w:rPr>
        <w:rFonts w:ascii="Arial" w:cs="Arial" w:eastAsia="Arial" w:hAnsi="Arial"/>
        <w:color w:val="808080"/>
        <w:sz w:val="15"/>
        <w:szCs w:val="15"/>
      </w:rPr>
      <w:t xml:space="preserve">WC-00130  ·  Confidential and may be legally privileged.</w:t>
    </w:r>
    <w:r>
      <w:rPr>
        <w:rFonts w:ascii="Arial" w:cs="Arial" w:eastAsia="Arial" w:hAnsi="Arial"/>
        <w:color w:val="808080"/>
        <w:sz w:val="15"/>
        <w:szCs w:val="15"/>
      </w:rPr>
      <w:t xml:space="preserve">	Page </w:t>
    </w:r>
    <w:r>
      <w:rPr>
        <w:rFonts w:ascii="Arial" w:cs="Arial" w:eastAsia="Arial" w:hAnsi="Arial"/>
        <w:color w:val="808080"/>
        <w:sz w:val="15"/>
        <w:szCs w:val="15"/>
      </w:rPr>
      <w:fldChar w:fldCharType="begin"/>
      <w:instrText xml:space="preserve">PAGE</w:instrText>
      <w:fldChar w:fldCharType="separate"/>
      <w:fldChar w:fldCharType="end"/>
    </w:r>
    <w:r>
      <w:rPr>
        <w:rFonts w:ascii="Arial" w:cs="Arial" w:eastAsia="Arial" w:hAnsi="Arial"/>
        <w:color w:val="808080"/>
        <w:sz w:val="15"/>
        <w:szCs w:val="15"/>
      </w:rPr>
      <w:t xml:space="preserve"> of </w:t>
    </w:r>
    <w:r>
      <w:rPr>
        <w:rFonts w:ascii="Arial" w:cs="Arial" w:eastAsia="Arial" w:hAnsi="Arial"/>
        <w:color w:val="80808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left"/>
    </w:pPr>
    <w:r>
      <w:rPr>
        <w:rFonts w:ascii="Arial" w:cs="Arial" w:eastAsia="Arial" w:hAnsi="Arial"/>
        <w:b/>
        <w:bCs/>
        <w:color w:val="1F3864"/>
        <w:sz w:val="30"/>
        <w:szCs w:val="30"/>
      </w:rPr>
      <w:t xml:space="preserve">Whitfield Carter LLP</w:t>
    </w:r>
  </w:p>
  <w:p>
    <w:pPr>
      <w:pBdr>
        <w:bottom w:val="single" w:color="1F3864" w:sz="6" w:space="4"/>
      </w:pBdr>
      <w:spacing w:after="60"/>
      <w:jc w:val="left"/>
    </w:pPr>
    <w:r>
      <w:rPr>
        <w:rFonts w:ascii="Arial" w:cs="Arial" w:eastAsia="Arial" w:hAnsi="Arial"/>
        <w:color w:val="595959"/>
        <w:sz w:val="16"/>
        <w:szCs w:val="16"/>
      </w:rPr>
      <w:t xml:space="preserve">Solicitors  ·  22 Bishopsgate, London EC2N 4BQ  ·  DX 132 London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720"/>
      </w:pPr>
    </w:lvl>
    <w:lvl w:ilvl="1" w15:tentative="1">
      <w:start w:val="1"/>
      <w:numFmt w:val="decimal"/>
      <w:lvlText w:val="%1.%2"/>
      <w:lvlJc w:val="left"/>
      <w:pPr>
        <w:ind w:left="1080" w:hanging="720"/>
      </w:pPr>
    </w:lvl>
    <w:lvl w:ilvl="2" w15:tentative="1">
      <w:start w:val="1"/>
      <w:numFmt w:val="lowerLetter"/>
      <w:lvlText w:val="(%3)"/>
      <w:lvlJc w:val="left"/>
      <w:pPr>
        <w:ind w:left="1620" w:hanging="540"/>
      </w:pPr>
    </w:lvl>
  </w:abstractNum>
  <w:abstractNum w:abstractNumId="3" w15:restartNumberingAfterBreak="0">
    <w:multiLevelType w:val="hybridMultilevel"/>
    <w:lvl w:ilvl="0" w15:tentative="1">
      <w:start w:val="1"/>
      <w:numFmt w:val="upperLetter"/>
      <w:lvlText w:val="(%1)"/>
      <w:lvlJc w:val="left"/>
      <w:pPr>
        <w:ind w:left="720" w:hanging="72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00" w:before="160"/>
      <w:outlineLvl w:val="1"/>
    </w:pPr>
    <w:rPr>
      <w:rFonts w:ascii="Times New Roman" w:cs="Times New Roman" w:eastAsia="Times New Roman" w:hAnsi="Times New Roman"/>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2026-06-25T23:06:01.418Z</dcterms:created>
  <dcterms:modified xsi:type="dcterms:W3CDTF">2026-06-25T23:06:01.418Z</dcterms:modified>
</cp:coreProperties>
</file>

<file path=docProps/custom.xml><?xml version="1.0" encoding="utf-8"?>
<Properties xmlns="http://schemas.openxmlformats.org/officeDocument/2006/custom-properties" xmlns:vt="http://schemas.openxmlformats.org/officeDocument/2006/docPropsVTypes"/>
</file>