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DISCLOSURE LETTER</w:t>
      </w:r>
    </w:p>
    <w:p>
      <w:pPr>
        <w:spacing w:after="80"/>
        <w:jc w:val="center"/>
      </w:pPr>
      <w:r>
        <w:rPr>
          <w:rFonts w:ascii="Calibri" w:cs="Calibri" w:eastAsia="Calibri" w:hAnsi="Calibri"/>
          <w:sz w:val="19"/>
          <w:szCs w:val="19"/>
        </w:rPr>
        <w:t xml:space="preserve">relating to the entire issued share capital of</w:t>
      </w:r>
    </w:p>
    <w:p>
      <w:pPr>
        <w:spacing w:after="80"/>
        <w:jc w:val="center"/>
      </w:pPr>
      <w:r>
        <w:rPr>
          <w:rFonts w:ascii="Calibri" w:cs="Calibri" w:eastAsia="Calibri" w:hAnsi="Calibri"/>
          <w:b/>
          <w:bCs/>
          <w:sz w:val="22"/>
          <w:szCs w:val="22"/>
        </w:rPr>
        <w:t xml:space="preserve">HELIX LOGISTICS LTD</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From:  </w:t>
      </w:r>
      <w:r>
        <w:rPr>
          <w:rFonts w:ascii="Calibri" w:cs="Calibri" w:eastAsia="Calibri" w:hAnsi="Calibri"/>
          <w:sz w:val="21"/>
          <w:szCs w:val="21"/>
        </w:rPr>
        <w:t xml:space="preserve">Marcus Reardon and Lucy Brennan, in each case c/o Helix Logistics Ltd, Helix House, Wellington Road, Trafford Park, Manchester M17 1RA (together the </w:t>
      </w:r>
      <w:r>
        <w:rPr>
          <w:rFonts w:ascii="Calibri" w:cs="Calibri" w:eastAsia="Calibri" w:hAnsi="Calibri"/>
          <w:b/>
          <w:bCs/>
          <w:sz w:val="21"/>
          <w:szCs w:val="21"/>
        </w:rPr>
        <w:t xml:space="preserve">Sellers</w:t>
      </w:r>
      <w:r>
        <w:rPr>
          <w:rFonts w:ascii="Calibri" w:cs="Calibri" w:eastAsia="Calibri" w:hAnsi="Calibri"/>
          <w:sz w:val="21"/>
          <w:szCs w:val="21"/>
        </w:rPr>
        <w:t xml:space="preserve">)</w:t>
      </w:r>
    </w:p>
    <w:p>
      <w:pPr>
        <w:spacing w:after="130"/>
        <w:jc w:val="both"/>
      </w:pPr>
      <w:r>
        <w:rPr>
          <w:rFonts w:ascii="Calibri" w:cs="Calibri" w:eastAsia="Calibri" w:hAnsi="Calibri"/>
          <w:b/>
          <w:bCs/>
          <w:sz w:val="21"/>
          <w:szCs w:val="21"/>
        </w:rPr>
        <w:t xml:space="preserve">To:  </w:t>
      </w:r>
      <w:r>
        <w:rPr>
          <w:rFonts w:ascii="Calibri" w:cs="Calibri" w:eastAsia="Calibri" w:hAnsi="Calibri"/>
          <w:sz w:val="21"/>
          <w:szCs w:val="21"/>
        </w:rPr>
        <w:t xml:space="preserve">Bracken Group Holdings Limited, 20 Berkeley Square, London W1J 6EQ (the </w:t>
      </w:r>
      <w:r>
        <w:rPr>
          <w:rFonts w:ascii="Calibri" w:cs="Calibri" w:eastAsia="Calibri" w:hAnsi="Calibri"/>
          <w:b/>
          <w:bCs/>
          <w:sz w:val="21"/>
          <w:szCs w:val="21"/>
        </w:rPr>
        <w:t xml:space="preserve">Purchaser</w:t>
      </w:r>
      <w:r>
        <w:rPr>
          <w:rFonts w:ascii="Calibri" w:cs="Calibri" w:eastAsia="Calibri" w:hAnsi="Calibri"/>
          <w:sz w:val="21"/>
          <w:szCs w:val="21"/>
        </w:rPr>
        <w:t xml:space="preserve">)</w:t>
      </w:r>
    </w:p>
    <w:p>
      <w:pPr>
        <w:spacing w:after="130"/>
        <w:jc w:val="both"/>
      </w:pPr>
      <w:r>
        <w:rPr>
          <w:rFonts w:ascii="Calibri" w:cs="Calibri" w:eastAsia="Calibri" w:hAnsi="Calibri"/>
          <w:b/>
          <w:bCs/>
          <w:sz w:val="21"/>
          <w:szCs w:val="21"/>
        </w:rPr>
        <w:t xml:space="preserve">Date:  </w:t>
      </w:r>
      <w:r>
        <w:rPr>
          <w:rFonts w:ascii="Calibri" w:cs="Calibri" w:eastAsia="Calibri" w:hAnsi="Calibri"/>
          <w:sz w:val="21"/>
          <w:szCs w:val="21"/>
        </w:rPr>
        <w:t xml:space="preserve">8 November 2024</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sz w:val="21"/>
          <w:szCs w:val="21"/>
        </w:rPr>
        <w:t xml:space="preserve">Dear Sirs</w:t>
      </w:r>
    </w:p>
    <w:p>
      <w:pPr>
        <w:spacing w:after="150" w:before="60"/>
        <w:jc w:val="both"/>
      </w:pPr>
      <w:r>
        <w:rPr>
          <w:rFonts w:ascii="Calibri" w:cs="Calibri" w:eastAsia="Calibri" w:hAnsi="Calibri"/>
          <w:b/>
          <w:bCs/>
          <w:sz w:val="21"/>
          <w:szCs w:val="21"/>
          <w:u w:val="single"/>
        </w:rPr>
        <w:t xml:space="preserve">Share Purchase Agreement relating to the entire issued share capital of Helix Logistics Ltd</w:t>
      </w:r>
    </w:p>
    <w:p>
      <w:pPr>
        <w:tabs>
          <w:tab w:val="left" w:pos="620"/>
        </w:tabs>
        <w:spacing w:after="120" w:before="240"/>
        <w:ind w:left="620" w:hanging="620"/>
      </w:pPr>
      <w:r>
        <w:rPr>
          <w:rFonts w:ascii="Calibri" w:cs="Calibri" w:eastAsia="Calibri" w:hAnsi="Calibri"/>
          <w:b/>
          <w:bCs/>
          <w:sz w:val="21"/>
          <w:szCs w:val="21"/>
        </w:rPr>
        <w:t xml:space="preserve">1</w:t>
      </w:r>
      <w:r>
        <w:rPr>
          <w:rFonts w:ascii="Calibri" w:cs="Calibri" w:eastAsia="Calibri" w:hAnsi="Calibri"/>
          <w:b/>
          <w:bCs/>
          <w:sz w:val="21"/>
          <w:szCs w:val="21"/>
        </w:rPr>
        <w:t xml:space="preserve">	</w:t>
      </w:r>
      <w:r>
        <w:rPr>
          <w:rFonts w:ascii="Calibri" w:cs="Calibri" w:eastAsia="Calibri" w:hAnsi="Calibri"/>
          <w:b/>
          <w:bCs/>
          <w:sz w:val="21"/>
          <w:szCs w:val="21"/>
        </w:rPr>
        <w:t xml:space="preserve">INTRODUCTION</w:t>
      </w:r>
    </w:p>
    <w:p>
      <w:pPr>
        <w:tabs>
          <w:tab w:val="left" w:pos="620"/>
        </w:tabs>
        <w:spacing w:after="130"/>
        <w:ind w:left="620" w:hanging="620"/>
        <w:jc w:val="both"/>
      </w:pPr>
      <w:r>
        <w:rPr>
          <w:rFonts w:ascii="Calibri" w:cs="Calibri" w:eastAsia="Calibri" w:hAnsi="Calibri"/>
          <w:sz w:val="21"/>
          <w:szCs w:val="21"/>
        </w:rPr>
        <w:t xml:space="preserve">1.1</w:t>
      </w:r>
      <w:r>
        <w:rPr>
          <w:rFonts w:ascii="Calibri" w:cs="Calibri" w:eastAsia="Calibri" w:hAnsi="Calibri"/>
          <w:sz w:val="21"/>
          <w:szCs w:val="21"/>
        </w:rPr>
        <w:t xml:space="preserve">	</w:t>
      </w:r>
      <w:r>
        <w:rPr>
          <w:rFonts w:ascii="Calibri" w:cs="Calibri" w:eastAsia="Calibri" w:hAnsi="Calibri"/>
          <w:sz w:val="21"/>
          <w:szCs w:val="21"/>
        </w:rPr>
        <w:t xml:space="preserve">This is the Disclosure Letter referred to in, and delivered pursuant to, the share purchase agreement dated 8 November 2024 and made between (1) the Sellers and (2) the Purchaser, relating to the sale and purchase of the entire issued share capital of Helix Logistics Ltd (the “Agreement”). This Disclosure Letter is one of the Transaction Documents and is given by the Sellers to the Purchaser for the purposes of clause 8 of the Agreement.</w:t>
      </w:r>
    </w:p>
    <w:p>
      <w:pPr>
        <w:tabs>
          <w:tab w:val="left" w:pos="620"/>
        </w:tabs>
        <w:spacing w:after="130"/>
        <w:ind w:left="620" w:hanging="620"/>
        <w:jc w:val="both"/>
      </w:pPr>
      <w:r>
        <w:rPr>
          <w:rFonts w:ascii="Calibri" w:cs="Calibri" w:eastAsia="Calibri" w:hAnsi="Calibri"/>
          <w:sz w:val="21"/>
          <w:szCs w:val="21"/>
        </w:rPr>
        <w:t xml:space="preserve">1.2</w:t>
      </w:r>
      <w:r>
        <w:rPr>
          <w:rFonts w:ascii="Calibri" w:cs="Calibri" w:eastAsia="Calibri" w:hAnsi="Calibri"/>
          <w:sz w:val="21"/>
          <w:szCs w:val="21"/>
        </w:rPr>
        <w:t xml:space="preserve">	</w:t>
      </w:r>
      <w:r>
        <w:rPr>
          <w:rFonts w:ascii="Calibri" w:cs="Calibri" w:eastAsia="Calibri" w:hAnsi="Calibri"/>
          <w:sz w:val="21"/>
          <w:szCs w:val="21"/>
        </w:rPr>
        <w:t xml:space="preserve">This Disclosure Letter is delivered by the Sellers, and is accepted by the Purchaser, in accordance with paragraph 1.4 of Part 1 of Schedule 2 to the Agreement. It is to take effect immediately before Completion.</w:t>
      </w:r>
    </w:p>
    <w:p>
      <w:pPr>
        <w:tabs>
          <w:tab w:val="left" w:pos="620"/>
        </w:tabs>
        <w:spacing w:after="130"/>
        <w:ind w:left="620" w:hanging="620"/>
        <w:jc w:val="both"/>
      </w:pPr>
      <w:r>
        <w:rPr>
          <w:rFonts w:ascii="Calibri" w:cs="Calibri" w:eastAsia="Calibri" w:hAnsi="Calibri"/>
          <w:sz w:val="21"/>
          <w:szCs w:val="21"/>
        </w:rPr>
        <w:t xml:space="preserve">1.3</w:t>
      </w:r>
      <w:r>
        <w:rPr>
          <w:rFonts w:ascii="Calibri" w:cs="Calibri" w:eastAsia="Calibri" w:hAnsi="Calibri"/>
          <w:sz w:val="21"/>
          <w:szCs w:val="21"/>
        </w:rPr>
        <w:t xml:space="preserve">	</w:t>
      </w:r>
      <w:r>
        <w:rPr>
          <w:rFonts w:ascii="Calibri" w:cs="Calibri" w:eastAsia="Calibri" w:hAnsi="Calibri"/>
          <w:sz w:val="21"/>
          <w:szCs w:val="21"/>
        </w:rPr>
        <w:t xml:space="preserve">The Warranties set out in Schedule 3 to the Agreement are given by the Sellers subject to, and are qualified by, the matters fairly disclosed in or under this Disclosure Letter, and only those matters, in accordance with clause 8.3 of the Agreement.</w:t>
      </w:r>
    </w:p>
    <w:p>
      <w:pPr>
        <w:tabs>
          <w:tab w:val="left" w:pos="620"/>
        </w:tabs>
        <w:spacing w:after="120" w:before="240"/>
        <w:ind w:left="620" w:hanging="620"/>
      </w:pPr>
      <w:r>
        <w:rPr>
          <w:rFonts w:ascii="Calibri" w:cs="Calibri" w:eastAsia="Calibri" w:hAnsi="Calibri"/>
          <w:b/>
          <w:bCs/>
          <w:sz w:val="21"/>
          <w:szCs w:val="21"/>
        </w:rPr>
        <w:t xml:space="preserve">2</w:t>
      </w:r>
      <w:r>
        <w:rPr>
          <w:rFonts w:ascii="Calibri" w:cs="Calibri" w:eastAsia="Calibri" w:hAnsi="Calibri"/>
          <w:b/>
          <w:bCs/>
          <w:sz w:val="21"/>
          <w:szCs w:val="21"/>
        </w:rPr>
        <w:t xml:space="preserve">	</w:t>
      </w:r>
      <w:r>
        <w:rPr>
          <w:rFonts w:ascii="Calibri" w:cs="Calibri" w:eastAsia="Calibri" w:hAnsi="Calibri"/>
          <w:b/>
          <w:bCs/>
          <w:sz w:val="21"/>
          <w:szCs w:val="21"/>
        </w:rPr>
        <w:t xml:space="preserve">DEFINITIONS AND INTERPRETATION</w:t>
      </w:r>
    </w:p>
    <w:p>
      <w:pPr>
        <w:tabs>
          <w:tab w:val="left" w:pos="620"/>
        </w:tabs>
        <w:spacing w:after="130"/>
        <w:ind w:left="620" w:hanging="620"/>
        <w:jc w:val="both"/>
      </w:pPr>
      <w:r>
        <w:rPr>
          <w:rFonts w:ascii="Calibri" w:cs="Calibri" w:eastAsia="Calibri" w:hAnsi="Calibri"/>
          <w:sz w:val="21"/>
          <w:szCs w:val="21"/>
        </w:rPr>
        <w:t xml:space="preserve">2.1</w:t>
      </w:r>
      <w:r>
        <w:rPr>
          <w:rFonts w:ascii="Calibri" w:cs="Calibri" w:eastAsia="Calibri" w:hAnsi="Calibri"/>
          <w:sz w:val="21"/>
          <w:szCs w:val="21"/>
        </w:rPr>
        <w:t xml:space="preserve">	</w:t>
      </w:r>
      <w:r>
        <w:rPr>
          <w:rFonts w:ascii="Calibri" w:cs="Calibri" w:eastAsia="Calibri" w:hAnsi="Calibri"/>
          <w:sz w:val="21"/>
          <w:szCs w:val="21"/>
        </w:rPr>
        <w:t xml:space="preserve">Words and expressions defined in the Agreement have the same meanings when used in this Disclosure Letter, unless the context otherwise requires or unless otherwise defined in this letter.</w:t>
      </w:r>
    </w:p>
    <w:p>
      <w:pPr>
        <w:tabs>
          <w:tab w:val="left" w:pos="620"/>
        </w:tabs>
        <w:spacing w:after="130"/>
        <w:ind w:left="620" w:hanging="620"/>
        <w:jc w:val="both"/>
      </w:pPr>
      <w:r>
        <w:rPr>
          <w:rFonts w:ascii="Calibri" w:cs="Calibri" w:eastAsia="Calibri" w:hAnsi="Calibri"/>
          <w:sz w:val="21"/>
          <w:szCs w:val="21"/>
        </w:rPr>
        <w:t xml:space="preserve">2.2</w:t>
      </w:r>
      <w:r>
        <w:rPr>
          <w:rFonts w:ascii="Calibri" w:cs="Calibri" w:eastAsia="Calibri" w:hAnsi="Calibri"/>
          <w:sz w:val="21"/>
          <w:szCs w:val="21"/>
        </w:rPr>
        <w:t xml:space="preserve">	</w:t>
      </w:r>
      <w:r>
        <w:rPr>
          <w:rFonts w:ascii="Calibri" w:cs="Calibri" w:eastAsia="Calibri" w:hAnsi="Calibri"/>
          <w:sz w:val="21"/>
          <w:szCs w:val="21"/>
        </w:rPr>
        <w:t xml:space="preserve">In this Disclosure Letter:</w:t>
      </w:r>
    </w:p>
    <w:p>
      <w:pPr>
        <w:tabs>
          <w:tab w:val="left" w:pos="1240"/>
        </w:tabs>
        <w:spacing w:after="130"/>
        <w:ind w:left="1240" w:hanging="620"/>
        <w:jc w:val="both"/>
      </w:pPr>
      <w:r>
        <w:rPr>
          <w:rFonts w:ascii="Calibri" w:cs="Calibri" w:eastAsia="Calibri" w:hAnsi="Calibri"/>
          <w:sz w:val="21"/>
          <w:szCs w:val="21"/>
        </w:rPr>
        <w:t xml:space="preserve">2.2.1</w:t>
      </w:r>
      <w:r>
        <w:rPr>
          <w:rFonts w:ascii="Calibri" w:cs="Calibri" w:eastAsia="Calibri" w:hAnsi="Calibri"/>
          <w:sz w:val="21"/>
          <w:szCs w:val="21"/>
        </w:rPr>
        <w:t xml:space="preserve">	</w:t>
      </w:r>
      <w:r>
        <w:rPr>
          <w:rFonts w:ascii="Calibri" w:cs="Calibri" w:eastAsia="Calibri" w:hAnsi="Calibri"/>
          <w:sz w:val="21"/>
          <w:szCs w:val="21"/>
        </w:rPr>
        <w:t xml:space="preserve">“</w:t>
      </w:r>
      <w:r>
        <w:rPr>
          <w:rFonts w:ascii="Calibri" w:cs="Calibri" w:eastAsia="Calibri" w:hAnsi="Calibri"/>
          <w:b/>
          <w:bCs/>
          <w:sz w:val="21"/>
          <w:szCs w:val="21"/>
        </w:rPr>
        <w:t xml:space="preserve">Warranties</w:t>
      </w:r>
      <w:r>
        <w:rPr>
          <w:rFonts w:ascii="Calibri" w:cs="Calibri" w:eastAsia="Calibri" w:hAnsi="Calibri"/>
          <w:sz w:val="21"/>
          <w:szCs w:val="21"/>
        </w:rPr>
        <w:t xml:space="preserve">” means the representations and warranties set out in Schedule 3 to the Agreement, and references to a numbered “Warranty” are to the correspondingly numbered paragraph of Part A of Schedule 3 (General Warranties), and references to a numbered “Tax Warranty” are to the correspondingly numbered paragraph of Part B of Schedule 3 (Tax Warranties);</w:t>
      </w:r>
    </w:p>
    <w:p>
      <w:pPr>
        <w:tabs>
          <w:tab w:val="left" w:pos="1240"/>
        </w:tabs>
        <w:spacing w:after="130"/>
        <w:ind w:left="1240" w:hanging="620"/>
        <w:jc w:val="both"/>
      </w:pPr>
      <w:r>
        <w:rPr>
          <w:rFonts w:ascii="Calibri" w:cs="Calibri" w:eastAsia="Calibri" w:hAnsi="Calibri"/>
          <w:sz w:val="21"/>
          <w:szCs w:val="21"/>
        </w:rPr>
        <w:t xml:space="preserve">2.2.2</w:t>
      </w:r>
      <w:r>
        <w:rPr>
          <w:rFonts w:ascii="Calibri" w:cs="Calibri" w:eastAsia="Calibri" w:hAnsi="Calibri"/>
          <w:sz w:val="21"/>
          <w:szCs w:val="21"/>
        </w:rPr>
        <w:t xml:space="preserve">	</w:t>
      </w:r>
      <w:r>
        <w:rPr>
          <w:rFonts w:ascii="Calibri" w:cs="Calibri" w:eastAsia="Calibri" w:hAnsi="Calibri"/>
          <w:sz w:val="21"/>
          <w:szCs w:val="21"/>
        </w:rPr>
        <w:t xml:space="preserve">“</w:t>
      </w:r>
      <w:r>
        <w:rPr>
          <w:rFonts w:ascii="Calibri" w:cs="Calibri" w:eastAsia="Calibri" w:hAnsi="Calibri"/>
          <w:b/>
          <w:bCs/>
          <w:sz w:val="21"/>
          <w:szCs w:val="21"/>
        </w:rPr>
        <w:t xml:space="preserve">General Disclosures</w:t>
      </w:r>
      <w:r>
        <w:rPr>
          <w:rFonts w:ascii="Calibri" w:cs="Calibri" w:eastAsia="Calibri" w:hAnsi="Calibri"/>
          <w:sz w:val="21"/>
          <w:szCs w:val="21"/>
        </w:rPr>
        <w:t xml:space="preserve">” means the matters disclosed in paragraph 4 of this Disclosure Letter;</w:t>
      </w:r>
    </w:p>
    <w:p>
      <w:pPr>
        <w:tabs>
          <w:tab w:val="left" w:pos="1240"/>
        </w:tabs>
        <w:spacing w:after="130"/>
        <w:ind w:left="1240" w:hanging="620"/>
        <w:jc w:val="both"/>
      </w:pPr>
      <w:r>
        <w:rPr>
          <w:rFonts w:ascii="Calibri" w:cs="Calibri" w:eastAsia="Calibri" w:hAnsi="Calibri"/>
          <w:sz w:val="21"/>
          <w:szCs w:val="21"/>
        </w:rPr>
        <w:t xml:space="preserve">2.2.3</w:t>
      </w:r>
      <w:r>
        <w:rPr>
          <w:rFonts w:ascii="Calibri" w:cs="Calibri" w:eastAsia="Calibri" w:hAnsi="Calibri"/>
          <w:sz w:val="21"/>
          <w:szCs w:val="21"/>
        </w:rPr>
        <w:t xml:space="preserve">	</w:t>
      </w:r>
      <w:r>
        <w:rPr>
          <w:rFonts w:ascii="Calibri" w:cs="Calibri" w:eastAsia="Calibri" w:hAnsi="Calibri"/>
          <w:sz w:val="21"/>
          <w:szCs w:val="21"/>
        </w:rPr>
        <w:t xml:space="preserve">“</w:t>
      </w:r>
      <w:r>
        <w:rPr>
          <w:rFonts w:ascii="Calibri" w:cs="Calibri" w:eastAsia="Calibri" w:hAnsi="Calibri"/>
          <w:b/>
          <w:bCs/>
          <w:sz w:val="21"/>
          <w:szCs w:val="21"/>
        </w:rPr>
        <w:t xml:space="preserve">Specific Disclosures</w:t>
      </w:r>
      <w:r>
        <w:rPr>
          <w:rFonts w:ascii="Calibri" w:cs="Calibri" w:eastAsia="Calibri" w:hAnsi="Calibri"/>
          <w:sz w:val="21"/>
          <w:szCs w:val="21"/>
        </w:rPr>
        <w:t xml:space="preserve">” means the matters disclosed in paragraph 5 of, and in the Schedules to, this Disclosure Letter; and</w:t>
      </w:r>
    </w:p>
    <w:p>
      <w:pPr>
        <w:tabs>
          <w:tab w:val="left" w:pos="1240"/>
        </w:tabs>
        <w:spacing w:after="130"/>
        <w:ind w:left="1240" w:hanging="620"/>
        <w:jc w:val="both"/>
      </w:pPr>
      <w:r>
        <w:rPr>
          <w:rFonts w:ascii="Calibri" w:cs="Calibri" w:eastAsia="Calibri" w:hAnsi="Calibri"/>
          <w:sz w:val="21"/>
          <w:szCs w:val="21"/>
        </w:rPr>
        <w:t xml:space="preserve">2.2.4</w:t>
      </w:r>
      <w:r>
        <w:rPr>
          <w:rFonts w:ascii="Calibri" w:cs="Calibri" w:eastAsia="Calibri" w:hAnsi="Calibri"/>
          <w:sz w:val="21"/>
          <w:szCs w:val="21"/>
        </w:rPr>
        <w:t xml:space="preserve">	</w:t>
      </w:r>
      <w:r>
        <w:rPr>
          <w:rFonts w:ascii="Calibri" w:cs="Calibri" w:eastAsia="Calibri" w:hAnsi="Calibri"/>
          <w:sz w:val="21"/>
          <w:szCs w:val="21"/>
        </w:rPr>
        <w:t xml:space="preserve">“</w:t>
      </w:r>
      <w:r>
        <w:rPr>
          <w:rFonts w:ascii="Calibri" w:cs="Calibri" w:eastAsia="Calibri" w:hAnsi="Calibri"/>
          <w:b/>
          <w:bCs/>
          <w:sz w:val="21"/>
          <w:szCs w:val="21"/>
        </w:rPr>
        <w:t xml:space="preserve">Disclosure Bundle</w:t>
      </w:r>
      <w:r>
        <w:rPr>
          <w:rFonts w:ascii="Calibri" w:cs="Calibri" w:eastAsia="Calibri" w:hAnsi="Calibri"/>
          <w:sz w:val="21"/>
          <w:szCs w:val="21"/>
        </w:rPr>
        <w:t xml:space="preserve">” means the bundle of documents listed in the index annexed to this Disclosure Letter and made available to the Purchaser in the Data Room, each document in which is identified in this letter by its Data Room reference (a “Bundle ref”).</w:t>
      </w:r>
    </w:p>
    <w:p>
      <w:pPr>
        <w:tabs>
          <w:tab w:val="left" w:pos="620"/>
        </w:tabs>
        <w:spacing w:after="130"/>
        <w:ind w:left="620" w:hanging="620"/>
        <w:jc w:val="both"/>
      </w:pPr>
      <w:r>
        <w:rPr>
          <w:rFonts w:ascii="Calibri" w:cs="Calibri" w:eastAsia="Calibri" w:hAnsi="Calibri"/>
          <w:sz w:val="21"/>
          <w:szCs w:val="21"/>
        </w:rPr>
        <w:t xml:space="preserve">2.3</w:t>
      </w:r>
      <w:r>
        <w:rPr>
          <w:rFonts w:ascii="Calibri" w:cs="Calibri" w:eastAsia="Calibri" w:hAnsi="Calibri"/>
          <w:sz w:val="21"/>
          <w:szCs w:val="21"/>
        </w:rPr>
        <w:t xml:space="preserve">	</w:t>
      </w:r>
      <w:r>
        <w:rPr>
          <w:rFonts w:ascii="Calibri" w:cs="Calibri" w:eastAsia="Calibri" w:hAnsi="Calibri"/>
          <w:sz w:val="21"/>
          <w:szCs w:val="21"/>
        </w:rPr>
        <w:t xml:space="preserve">The Schedules form part of this Disclosure Letter and have effect as if set out in full in the body of it. The headings and the order of disclosure in this letter are for convenience only and do not limit the scope or effect of any disclosure.</w:t>
      </w:r>
    </w:p>
    <w:p>
      <w:pPr>
        <w:tabs>
          <w:tab w:val="left" w:pos="620"/>
        </w:tabs>
        <w:spacing w:after="120" w:before="240"/>
        <w:ind w:left="620" w:hanging="620"/>
      </w:pPr>
      <w:r>
        <w:rPr>
          <w:rFonts w:ascii="Calibri" w:cs="Calibri" w:eastAsia="Calibri" w:hAnsi="Calibri"/>
          <w:b/>
          <w:bCs/>
          <w:sz w:val="21"/>
          <w:szCs w:val="21"/>
        </w:rPr>
        <w:t xml:space="preserve">3</w:t>
      </w:r>
      <w:r>
        <w:rPr>
          <w:rFonts w:ascii="Calibri" w:cs="Calibri" w:eastAsia="Calibri" w:hAnsi="Calibri"/>
          <w:b/>
          <w:bCs/>
          <w:sz w:val="21"/>
          <w:szCs w:val="21"/>
        </w:rPr>
        <w:t xml:space="preserve">	</w:t>
      </w:r>
      <w:r>
        <w:rPr>
          <w:rFonts w:ascii="Calibri" w:cs="Calibri" w:eastAsia="Calibri" w:hAnsi="Calibri"/>
          <w:b/>
          <w:bCs/>
          <w:sz w:val="21"/>
          <w:szCs w:val="21"/>
        </w:rPr>
        <w:t xml:space="preserve">BASIS AND EFFECT OF DISCLOSURE</w:t>
      </w:r>
    </w:p>
    <w:p>
      <w:pPr>
        <w:tabs>
          <w:tab w:val="left" w:pos="620"/>
        </w:tabs>
        <w:spacing w:after="130"/>
        <w:ind w:left="620" w:hanging="620"/>
        <w:jc w:val="both"/>
      </w:pPr>
      <w:r>
        <w:rPr>
          <w:rFonts w:ascii="Calibri" w:cs="Calibri" w:eastAsia="Calibri" w:hAnsi="Calibri"/>
          <w:sz w:val="21"/>
          <w:szCs w:val="21"/>
        </w:rPr>
        <w:t xml:space="preserve">3.1</w:t>
      </w:r>
      <w:r>
        <w:rPr>
          <w:rFonts w:ascii="Calibri" w:cs="Calibri" w:eastAsia="Calibri" w:hAnsi="Calibri"/>
          <w:sz w:val="21"/>
          <w:szCs w:val="21"/>
        </w:rPr>
        <w:t xml:space="preserve">	</w:t>
      </w:r>
      <w:r>
        <w:rPr>
          <w:rFonts w:ascii="Calibri" w:cs="Calibri" w:eastAsia="Calibri" w:hAnsi="Calibri"/>
          <w:sz w:val="21"/>
          <w:szCs w:val="21"/>
        </w:rPr>
        <w:t xml:space="preserve">The disclosures made in this Disclosure Letter are made against the Warranties generally, and no disclosure is to be construed as limited to the Warranty against which, or the paragraph or Schedule in which, it appears. Each disclosure qualifies, and is deemed to be disclosed against, every Warranty to which it is or may be relevant, whether or not expressly cross-referred.</w:t>
      </w:r>
    </w:p>
    <w:p>
      <w:pPr>
        <w:tabs>
          <w:tab w:val="left" w:pos="620"/>
        </w:tabs>
        <w:spacing w:after="130"/>
        <w:ind w:left="620" w:hanging="620"/>
        <w:jc w:val="both"/>
      </w:pPr>
      <w:r>
        <w:rPr>
          <w:rFonts w:ascii="Calibri" w:cs="Calibri" w:eastAsia="Calibri" w:hAnsi="Calibri"/>
          <w:sz w:val="21"/>
          <w:szCs w:val="21"/>
        </w:rPr>
        <w:t xml:space="preserve">3.2</w:t>
      </w:r>
      <w:r>
        <w:rPr>
          <w:rFonts w:ascii="Calibri" w:cs="Calibri" w:eastAsia="Calibri" w:hAnsi="Calibri"/>
          <w:sz w:val="21"/>
          <w:szCs w:val="21"/>
        </w:rPr>
        <w:t xml:space="preserve">	</w:t>
      </w:r>
      <w:r>
        <w:rPr>
          <w:rFonts w:ascii="Calibri" w:cs="Calibri" w:eastAsia="Calibri" w:hAnsi="Calibri"/>
          <w:sz w:val="21"/>
          <w:szCs w:val="21"/>
        </w:rPr>
        <w:t xml:space="preserve">The General Disclosures qualify all of the Warranties. The Specific Disclosures qualify the Warranty or Warranties against which they are expressed to be made and each other Warranty to which they are or may be relevant.</w:t>
      </w:r>
    </w:p>
    <w:p>
      <w:pPr>
        <w:tabs>
          <w:tab w:val="left" w:pos="620"/>
        </w:tabs>
        <w:spacing w:after="130"/>
        <w:ind w:left="620" w:hanging="620"/>
        <w:jc w:val="both"/>
      </w:pPr>
      <w:r>
        <w:rPr>
          <w:rFonts w:ascii="Calibri" w:cs="Calibri" w:eastAsia="Calibri" w:hAnsi="Calibri"/>
          <w:sz w:val="21"/>
          <w:szCs w:val="21"/>
        </w:rPr>
        <w:t xml:space="preserve">3.3</w:t>
      </w:r>
      <w:r>
        <w:rPr>
          <w:rFonts w:ascii="Calibri" w:cs="Calibri" w:eastAsia="Calibri" w:hAnsi="Calibri"/>
          <w:sz w:val="21"/>
          <w:szCs w:val="21"/>
        </w:rPr>
        <w:t xml:space="preserve">	</w:t>
      </w:r>
      <w:r>
        <w:rPr>
          <w:rFonts w:ascii="Calibri" w:cs="Calibri" w:eastAsia="Calibri" w:hAnsi="Calibri"/>
          <w:sz w:val="21"/>
          <w:szCs w:val="21"/>
        </w:rPr>
        <w:t xml:space="preserve">A matter is disclosed for the purposes of the Agreement only if it is fairly disclosed within the meaning of clause 8.3 of the Agreement, namely with sufficient detail and explanation to enable a reasonable purchaser to identify and to assess the nature, scope and implications of the matter disclosed.</w:t>
      </w:r>
    </w:p>
    <w:p>
      <w:pPr>
        <w:tabs>
          <w:tab w:val="left" w:pos="620"/>
        </w:tabs>
        <w:spacing w:after="130"/>
        <w:ind w:left="620" w:hanging="620"/>
        <w:jc w:val="both"/>
      </w:pPr>
      <w:r>
        <w:rPr>
          <w:rFonts w:ascii="Calibri" w:cs="Calibri" w:eastAsia="Calibri" w:hAnsi="Calibri"/>
          <w:sz w:val="21"/>
          <w:szCs w:val="21"/>
        </w:rPr>
        <w:t xml:space="preserve">3.4</w:t>
      </w:r>
      <w:r>
        <w:rPr>
          <w:rFonts w:ascii="Calibri" w:cs="Calibri" w:eastAsia="Calibri" w:hAnsi="Calibri"/>
          <w:sz w:val="21"/>
          <w:szCs w:val="21"/>
        </w:rPr>
        <w:t xml:space="preserve">	</w:t>
      </w:r>
      <w:r>
        <w:rPr>
          <w:rFonts w:ascii="Calibri" w:cs="Calibri" w:eastAsia="Calibri" w:hAnsi="Calibri"/>
          <w:sz w:val="21"/>
          <w:szCs w:val="21"/>
        </w:rPr>
        <w:t xml:space="preserve">Neither the disclosure of any matter in this Disclosure Letter, nor the supply of any information in or referred to in the Disclosure Bundle, constitutes or implies any representation, warranty, assurance or undertaking by the Sellers not expressly set out in the Agreement, and no such disclosure or supply is to be taken as extending the scope of any of the Warranties.</w:t>
      </w:r>
    </w:p>
    <w:p>
      <w:pPr>
        <w:tabs>
          <w:tab w:val="left" w:pos="620"/>
        </w:tabs>
        <w:spacing w:after="130"/>
        <w:ind w:left="620" w:hanging="620"/>
        <w:jc w:val="both"/>
      </w:pPr>
      <w:r>
        <w:rPr>
          <w:rFonts w:ascii="Calibri" w:cs="Calibri" w:eastAsia="Calibri" w:hAnsi="Calibri"/>
          <w:sz w:val="21"/>
          <w:szCs w:val="21"/>
        </w:rPr>
        <w:t xml:space="preserve">3.5</w:t>
      </w:r>
      <w:r>
        <w:rPr>
          <w:rFonts w:ascii="Calibri" w:cs="Calibri" w:eastAsia="Calibri" w:hAnsi="Calibri"/>
          <w:sz w:val="21"/>
          <w:szCs w:val="21"/>
        </w:rPr>
        <w:t xml:space="preserve">	</w:t>
      </w:r>
      <w:r>
        <w:rPr>
          <w:rFonts w:ascii="Calibri" w:cs="Calibri" w:eastAsia="Calibri" w:hAnsi="Calibri"/>
          <w:sz w:val="21"/>
          <w:szCs w:val="21"/>
        </w:rPr>
        <w:t xml:space="preserve">The disclosure of any matter is not, and is not to be taken as, an admission by the Sellers as to the materiality of that matter, nor as an admission of any liability to any third party, nor as an acknowledgement that the matter is required to be disclosed in order for any Warranty to be true, accurate and not misleading.</w:t>
      </w:r>
    </w:p>
    <w:p>
      <w:pPr>
        <w:tabs>
          <w:tab w:val="left" w:pos="620"/>
        </w:tabs>
        <w:spacing w:after="130"/>
        <w:ind w:left="620" w:hanging="620"/>
        <w:jc w:val="both"/>
      </w:pPr>
      <w:r>
        <w:rPr>
          <w:rFonts w:ascii="Calibri" w:cs="Calibri" w:eastAsia="Calibri" w:hAnsi="Calibri"/>
          <w:sz w:val="21"/>
          <w:szCs w:val="21"/>
        </w:rPr>
        <w:t xml:space="preserve">3.6</w:t>
      </w:r>
      <w:r>
        <w:rPr>
          <w:rFonts w:ascii="Calibri" w:cs="Calibri" w:eastAsia="Calibri" w:hAnsi="Calibri"/>
          <w:sz w:val="21"/>
          <w:szCs w:val="21"/>
        </w:rPr>
        <w:t xml:space="preserve">	</w:t>
      </w:r>
      <w:r>
        <w:rPr>
          <w:rFonts w:ascii="Calibri" w:cs="Calibri" w:eastAsia="Calibri" w:hAnsi="Calibri"/>
          <w:sz w:val="21"/>
          <w:szCs w:val="21"/>
        </w:rPr>
        <w:t xml:space="preserve">Where any document is referred to or summarised in this Disclosure Letter or in any Schedule, the disclosure extends to the whole of that document and to all matters contained or referred to in it, and the summary is given for convenience only and is qualified in its entirety by the full text of the document, a copy of which is contained in the Disclosure Bundle.</w:t>
      </w:r>
    </w:p>
    <w:p>
      <w:pPr>
        <w:tabs>
          <w:tab w:val="left" w:pos="620"/>
        </w:tabs>
        <w:spacing w:after="130"/>
        <w:ind w:left="620" w:hanging="620"/>
        <w:jc w:val="both"/>
      </w:pPr>
      <w:r>
        <w:rPr>
          <w:rFonts w:ascii="Calibri" w:cs="Calibri" w:eastAsia="Calibri" w:hAnsi="Calibri"/>
          <w:sz w:val="21"/>
          <w:szCs w:val="21"/>
        </w:rPr>
        <w:t xml:space="preserve">3.7</w:t>
      </w:r>
      <w:r>
        <w:rPr>
          <w:rFonts w:ascii="Calibri" w:cs="Calibri" w:eastAsia="Calibri" w:hAnsi="Calibri"/>
          <w:sz w:val="21"/>
          <w:szCs w:val="21"/>
        </w:rPr>
        <w:t xml:space="preserve">	</w:t>
      </w:r>
      <w:r>
        <w:rPr>
          <w:rFonts w:ascii="Calibri" w:cs="Calibri" w:eastAsia="Calibri" w:hAnsi="Calibri"/>
          <w:sz w:val="21"/>
          <w:szCs w:val="21"/>
        </w:rPr>
        <w:t xml:space="preserve">Any inconsistency between the body of this Disclosure Letter and any Schedule is to be resolved in favour of the disclosure that is the more extensive, so that the wider disclosure prevails.</w:t>
      </w:r>
    </w:p>
    <w:p>
      <w:pPr>
        <w:tabs>
          <w:tab w:val="left" w:pos="620"/>
        </w:tabs>
        <w:spacing w:after="120" w:before="240"/>
        <w:ind w:left="620" w:hanging="620"/>
      </w:pPr>
      <w:r>
        <w:rPr>
          <w:rFonts w:ascii="Calibri" w:cs="Calibri" w:eastAsia="Calibri" w:hAnsi="Calibri"/>
          <w:b/>
          <w:bCs/>
          <w:sz w:val="21"/>
          <w:szCs w:val="21"/>
        </w:rPr>
        <w:t xml:space="preserve">4</w:t>
      </w:r>
      <w:r>
        <w:rPr>
          <w:rFonts w:ascii="Calibri" w:cs="Calibri" w:eastAsia="Calibri" w:hAnsi="Calibri"/>
          <w:b/>
          <w:bCs/>
          <w:sz w:val="21"/>
          <w:szCs w:val="21"/>
        </w:rPr>
        <w:t xml:space="preserve">	</w:t>
      </w:r>
      <w:r>
        <w:rPr>
          <w:rFonts w:ascii="Calibri" w:cs="Calibri" w:eastAsia="Calibri" w:hAnsi="Calibri"/>
          <w:b/>
          <w:bCs/>
          <w:sz w:val="21"/>
          <w:szCs w:val="21"/>
        </w:rPr>
        <w:t xml:space="preserve">GENERAL DISCLOSURES</w:t>
      </w:r>
    </w:p>
    <w:p>
      <w:pPr>
        <w:tabs>
          <w:tab w:val="left" w:pos="620"/>
        </w:tabs>
        <w:spacing w:after="130"/>
        <w:ind w:left="620" w:hanging="620"/>
        <w:jc w:val="both"/>
      </w:pPr>
      <w:r>
        <w:rPr>
          <w:rFonts w:ascii="Calibri" w:cs="Calibri" w:eastAsia="Calibri" w:hAnsi="Calibri"/>
          <w:sz w:val="21"/>
          <w:szCs w:val="21"/>
        </w:rPr>
        <w:t xml:space="preserve">4.1</w:t>
      </w:r>
      <w:r>
        <w:rPr>
          <w:rFonts w:ascii="Calibri" w:cs="Calibri" w:eastAsia="Calibri" w:hAnsi="Calibri"/>
          <w:sz w:val="21"/>
          <w:szCs w:val="21"/>
        </w:rPr>
        <w:t xml:space="preserve">	</w:t>
      </w:r>
      <w:r>
        <w:rPr>
          <w:rFonts w:ascii="Calibri" w:cs="Calibri" w:eastAsia="Calibri" w:hAnsi="Calibri"/>
          <w:sz w:val="21"/>
          <w:szCs w:val="21"/>
        </w:rPr>
        <w:t xml:space="preserve">The following matters are disclosed against all of the Warranties, and the Purchaser is treated as having knowledge of, and the Warranties are qualified by, each of them:</w:t>
      </w:r>
    </w:p>
    <w:p>
      <w:pPr>
        <w:tabs>
          <w:tab w:val="left" w:pos="1240"/>
        </w:tabs>
        <w:spacing w:after="130"/>
        <w:ind w:left="1240" w:hanging="620"/>
        <w:jc w:val="both"/>
      </w:pPr>
      <w:r>
        <w:rPr>
          <w:rFonts w:ascii="Calibri" w:cs="Calibri" w:eastAsia="Calibri" w:hAnsi="Calibri"/>
          <w:sz w:val="21"/>
          <w:szCs w:val="21"/>
        </w:rPr>
        <w:t xml:space="preserve">4.1.1</w:t>
      </w:r>
      <w:r>
        <w:rPr>
          <w:rFonts w:ascii="Calibri" w:cs="Calibri" w:eastAsia="Calibri" w:hAnsi="Calibri"/>
          <w:sz w:val="21"/>
          <w:szCs w:val="21"/>
        </w:rPr>
        <w:t xml:space="preserve">	</w:t>
      </w:r>
      <w:r>
        <w:rPr>
          <w:rFonts w:ascii="Calibri" w:cs="Calibri" w:eastAsia="Calibri" w:hAnsi="Calibri"/>
          <w:sz w:val="21"/>
          <w:szCs w:val="21"/>
        </w:rPr>
        <w:t xml:space="preserve">all matters provided for, noted, referred to or reflected in the Accounts, the Locked Box Accounts and the Management Accounts, together with the notes, reports and statements forming part of them;</w:t>
      </w:r>
    </w:p>
    <w:p>
      <w:pPr>
        <w:tabs>
          <w:tab w:val="left" w:pos="1240"/>
        </w:tabs>
        <w:spacing w:after="130"/>
        <w:ind w:left="1240" w:hanging="620"/>
        <w:jc w:val="both"/>
      </w:pPr>
      <w:r>
        <w:rPr>
          <w:rFonts w:ascii="Calibri" w:cs="Calibri" w:eastAsia="Calibri" w:hAnsi="Calibri"/>
          <w:sz w:val="21"/>
          <w:szCs w:val="21"/>
        </w:rPr>
        <w:t xml:space="preserve">4.1.2</w:t>
      </w:r>
      <w:r>
        <w:rPr>
          <w:rFonts w:ascii="Calibri" w:cs="Calibri" w:eastAsia="Calibri" w:hAnsi="Calibri"/>
          <w:sz w:val="21"/>
          <w:szCs w:val="21"/>
        </w:rPr>
        <w:t xml:space="preserve">	</w:t>
      </w:r>
      <w:r>
        <w:rPr>
          <w:rFonts w:ascii="Calibri" w:cs="Calibri" w:eastAsia="Calibri" w:hAnsi="Calibri"/>
          <w:sz w:val="21"/>
          <w:szCs w:val="21"/>
        </w:rPr>
        <w:t xml:space="preserve">all matters contained or referred to in the Agreement and in the other Transaction Documents, and the contents of this Disclosure Letter and of the Disclosure Bundle;</w:t>
      </w:r>
    </w:p>
    <w:p>
      <w:pPr>
        <w:tabs>
          <w:tab w:val="left" w:pos="1240"/>
        </w:tabs>
        <w:spacing w:after="130"/>
        <w:ind w:left="1240" w:hanging="620"/>
        <w:jc w:val="both"/>
      </w:pPr>
      <w:r>
        <w:rPr>
          <w:rFonts w:ascii="Calibri" w:cs="Calibri" w:eastAsia="Calibri" w:hAnsi="Calibri"/>
          <w:sz w:val="21"/>
          <w:szCs w:val="21"/>
        </w:rPr>
        <w:t xml:space="preserve">4.1.3</w:t>
      </w:r>
      <w:r>
        <w:rPr>
          <w:rFonts w:ascii="Calibri" w:cs="Calibri" w:eastAsia="Calibri" w:hAnsi="Calibri"/>
          <w:sz w:val="21"/>
          <w:szCs w:val="21"/>
        </w:rPr>
        <w:t xml:space="preserve">	</w:t>
      </w:r>
      <w:r>
        <w:rPr>
          <w:rFonts w:ascii="Calibri" w:cs="Calibri" w:eastAsia="Calibri" w:hAnsi="Calibri"/>
          <w:sz w:val="21"/>
          <w:szCs w:val="21"/>
        </w:rPr>
        <w:t xml:space="preserve">all matters which are, on the date of this Disclosure Letter, recorded at, or which would be revealed by a search (made not more than two Business Days before that date) of, the file of the Company maintained at Companies House;</w:t>
      </w:r>
    </w:p>
    <w:p>
      <w:pPr>
        <w:tabs>
          <w:tab w:val="left" w:pos="1240"/>
        </w:tabs>
        <w:spacing w:after="130"/>
        <w:ind w:left="1240" w:hanging="620"/>
        <w:jc w:val="both"/>
      </w:pPr>
      <w:r>
        <w:rPr>
          <w:rFonts w:ascii="Calibri" w:cs="Calibri" w:eastAsia="Calibri" w:hAnsi="Calibri"/>
          <w:sz w:val="21"/>
          <w:szCs w:val="21"/>
        </w:rPr>
        <w:t xml:space="preserve">4.1.4</w:t>
      </w:r>
      <w:r>
        <w:rPr>
          <w:rFonts w:ascii="Calibri" w:cs="Calibri" w:eastAsia="Calibri" w:hAnsi="Calibri"/>
          <w:sz w:val="21"/>
          <w:szCs w:val="21"/>
        </w:rPr>
        <w:t xml:space="preserve">	</w:t>
      </w:r>
      <w:r>
        <w:rPr>
          <w:rFonts w:ascii="Calibri" w:cs="Calibri" w:eastAsia="Calibri" w:hAnsi="Calibri"/>
          <w:sz w:val="21"/>
          <w:szCs w:val="21"/>
        </w:rPr>
        <w:t xml:space="preserve">all matters apparent from the registered titles, and the documents referred to in the registers of title, maintained at HM Land Registry in respect of the registered titles to the Properties and the land of which they form part;</w:t>
      </w:r>
    </w:p>
    <w:p>
      <w:pPr>
        <w:tabs>
          <w:tab w:val="left" w:pos="1240"/>
        </w:tabs>
        <w:spacing w:after="130"/>
        <w:ind w:left="1240" w:hanging="620"/>
        <w:jc w:val="both"/>
      </w:pPr>
      <w:r>
        <w:rPr>
          <w:rFonts w:ascii="Calibri" w:cs="Calibri" w:eastAsia="Calibri" w:hAnsi="Calibri"/>
          <w:sz w:val="21"/>
          <w:szCs w:val="21"/>
        </w:rPr>
        <w:t xml:space="preserve">4.1.5</w:t>
      </w:r>
      <w:r>
        <w:rPr>
          <w:rFonts w:ascii="Calibri" w:cs="Calibri" w:eastAsia="Calibri" w:hAnsi="Calibri"/>
          <w:sz w:val="21"/>
          <w:szCs w:val="21"/>
        </w:rPr>
        <w:t xml:space="preserve">	</w:t>
      </w:r>
      <w:r>
        <w:rPr>
          <w:rFonts w:ascii="Calibri" w:cs="Calibri" w:eastAsia="Calibri" w:hAnsi="Calibri"/>
          <w:sz w:val="21"/>
          <w:szCs w:val="21"/>
        </w:rPr>
        <w:t xml:space="preserve">all matters recorded in, or revealed by a search of, the registers of registered and pending trade marks and designs maintained by the UK Intellectual Property Office, and the WHOIS register entries for the Company’s domain names;</w:t>
      </w:r>
    </w:p>
    <w:p>
      <w:pPr>
        <w:tabs>
          <w:tab w:val="left" w:pos="1240"/>
        </w:tabs>
        <w:spacing w:after="130"/>
        <w:ind w:left="1240" w:hanging="620"/>
        <w:jc w:val="both"/>
      </w:pPr>
      <w:r>
        <w:rPr>
          <w:rFonts w:ascii="Calibri" w:cs="Calibri" w:eastAsia="Calibri" w:hAnsi="Calibri"/>
          <w:sz w:val="21"/>
          <w:szCs w:val="21"/>
        </w:rPr>
        <w:t xml:space="preserve">4.1.6</w:t>
      </w:r>
      <w:r>
        <w:rPr>
          <w:rFonts w:ascii="Calibri" w:cs="Calibri" w:eastAsia="Calibri" w:hAnsi="Calibri"/>
          <w:sz w:val="21"/>
          <w:szCs w:val="21"/>
        </w:rPr>
        <w:t xml:space="preserve">	</w:t>
      </w:r>
      <w:r>
        <w:rPr>
          <w:rFonts w:ascii="Calibri" w:cs="Calibri" w:eastAsia="Calibri" w:hAnsi="Calibri"/>
          <w:sz w:val="21"/>
          <w:szCs w:val="21"/>
        </w:rPr>
        <w:t xml:space="preserve">all matters recorded on the register of operator’s licences maintained by the Office of the Traffic Commissioner, and on the public register of waste carriers, brokers and dealers maintained by the Environment Agency;</w:t>
      </w:r>
    </w:p>
    <w:p>
      <w:pPr>
        <w:tabs>
          <w:tab w:val="left" w:pos="1240"/>
        </w:tabs>
        <w:spacing w:after="130"/>
        <w:ind w:left="1240" w:hanging="620"/>
        <w:jc w:val="both"/>
      </w:pPr>
      <w:r>
        <w:rPr>
          <w:rFonts w:ascii="Calibri" w:cs="Calibri" w:eastAsia="Calibri" w:hAnsi="Calibri"/>
          <w:sz w:val="21"/>
          <w:szCs w:val="21"/>
        </w:rPr>
        <w:t xml:space="preserve">4.1.7</w:t>
      </w:r>
      <w:r>
        <w:rPr>
          <w:rFonts w:ascii="Calibri" w:cs="Calibri" w:eastAsia="Calibri" w:hAnsi="Calibri"/>
          <w:sz w:val="21"/>
          <w:szCs w:val="21"/>
        </w:rPr>
        <w:t xml:space="preserve">	</w:t>
      </w:r>
      <w:r>
        <w:rPr>
          <w:rFonts w:ascii="Calibri" w:cs="Calibri" w:eastAsia="Calibri" w:hAnsi="Calibri"/>
          <w:sz w:val="21"/>
          <w:szCs w:val="21"/>
        </w:rPr>
        <w:t xml:space="preserve">all matters recorded on the register of fee payers maintained by the Information Commissioner’s Office; and</w:t>
      </w:r>
    </w:p>
    <w:p>
      <w:pPr>
        <w:tabs>
          <w:tab w:val="left" w:pos="1240"/>
        </w:tabs>
        <w:spacing w:after="130"/>
        <w:ind w:left="1240" w:hanging="620"/>
        <w:jc w:val="both"/>
      </w:pPr>
      <w:r>
        <w:rPr>
          <w:rFonts w:ascii="Calibri" w:cs="Calibri" w:eastAsia="Calibri" w:hAnsi="Calibri"/>
          <w:sz w:val="21"/>
          <w:szCs w:val="21"/>
        </w:rPr>
        <w:t xml:space="preserve">4.1.8</w:t>
      </w:r>
      <w:r>
        <w:rPr>
          <w:rFonts w:ascii="Calibri" w:cs="Calibri" w:eastAsia="Calibri" w:hAnsi="Calibri"/>
          <w:sz w:val="21"/>
          <w:szCs w:val="21"/>
        </w:rPr>
        <w:t xml:space="preserve">	</w:t>
      </w:r>
      <w:r>
        <w:rPr>
          <w:rFonts w:ascii="Calibri" w:cs="Calibri" w:eastAsia="Calibri" w:hAnsi="Calibri"/>
          <w:sz w:val="21"/>
          <w:szCs w:val="21"/>
        </w:rPr>
        <w:t xml:space="preserve">all matters fairly disclosed by the documents made available to the Purchaser and its advisers in the Data Room, the index to which is annexed to this Disclosure Letter, and all written replies given by or on behalf of the Sellers to the written due diligence enquiries raised by the Purchaser’s Solicitors.</w:t>
      </w:r>
    </w:p>
    <w:p>
      <w:pPr>
        <w:tabs>
          <w:tab w:val="left" w:pos="620"/>
        </w:tabs>
        <w:spacing w:after="120" w:before="240"/>
        <w:ind w:left="620" w:hanging="620"/>
      </w:pPr>
      <w:r>
        <w:rPr>
          <w:rFonts w:ascii="Calibri" w:cs="Calibri" w:eastAsia="Calibri" w:hAnsi="Calibri"/>
          <w:b/>
          <w:bCs/>
          <w:sz w:val="21"/>
          <w:szCs w:val="21"/>
        </w:rPr>
        <w:t xml:space="preserve">5</w:t>
      </w:r>
      <w:r>
        <w:rPr>
          <w:rFonts w:ascii="Calibri" w:cs="Calibri" w:eastAsia="Calibri" w:hAnsi="Calibri"/>
          <w:b/>
          <w:bCs/>
          <w:sz w:val="21"/>
          <w:szCs w:val="21"/>
        </w:rPr>
        <w:t xml:space="preserve">	</w:t>
      </w:r>
      <w:r>
        <w:rPr>
          <w:rFonts w:ascii="Calibri" w:cs="Calibri" w:eastAsia="Calibri" w:hAnsi="Calibri"/>
          <w:b/>
          <w:bCs/>
          <w:sz w:val="21"/>
          <w:szCs w:val="21"/>
        </w:rPr>
        <w:t xml:space="preserve">SPECIFIC DISCLOSURES</w:t>
      </w:r>
    </w:p>
    <w:p>
      <w:pPr>
        <w:tabs>
          <w:tab w:val="left" w:pos="620"/>
        </w:tabs>
        <w:spacing w:after="130"/>
        <w:ind w:left="620" w:hanging="620"/>
        <w:jc w:val="both"/>
      </w:pPr>
      <w:r>
        <w:rPr>
          <w:rFonts w:ascii="Calibri" w:cs="Calibri" w:eastAsia="Calibri" w:hAnsi="Calibri"/>
          <w:sz w:val="21"/>
          <w:szCs w:val="21"/>
        </w:rPr>
        <w:t xml:space="preserve">5.1</w:t>
      </w:r>
      <w:r>
        <w:rPr>
          <w:rFonts w:ascii="Calibri" w:cs="Calibri" w:eastAsia="Calibri" w:hAnsi="Calibri"/>
          <w:sz w:val="21"/>
          <w:szCs w:val="21"/>
        </w:rPr>
        <w:t xml:space="preserve">	</w:t>
      </w:r>
      <w:r>
        <w:rPr>
          <w:rFonts w:ascii="Calibri" w:cs="Calibri" w:eastAsia="Calibri" w:hAnsi="Calibri"/>
          <w:sz w:val="21"/>
          <w:szCs w:val="21"/>
        </w:rPr>
        <w:t xml:space="preserve">Without limiting the General Disclosures, the following matters are disclosed specifically against the Warranties identified below.</w:t>
      </w:r>
    </w:p>
    <w:p>
      <w:pPr>
        <w:tabs>
          <w:tab w:val="left" w:pos="620"/>
        </w:tabs>
        <w:spacing w:after="110" w:before="160"/>
        <w:ind w:left="620" w:hanging="620"/>
      </w:pPr>
      <w:r>
        <w:rPr>
          <w:rFonts w:ascii="Calibri" w:cs="Calibri" w:eastAsia="Calibri" w:hAnsi="Calibri"/>
          <w:b/>
          <w:bCs/>
          <w:sz w:val="21"/>
          <w:szCs w:val="21"/>
        </w:rPr>
        <w:t xml:space="preserve">5.2</w:t>
      </w:r>
      <w:r>
        <w:rPr>
          <w:rFonts w:ascii="Calibri" w:cs="Calibri" w:eastAsia="Calibri" w:hAnsi="Calibri"/>
          <w:b/>
          <w:bCs/>
          <w:sz w:val="21"/>
          <w:szCs w:val="21"/>
        </w:rPr>
        <w:t xml:space="preserve">	</w:t>
      </w:r>
      <w:r>
        <w:rPr>
          <w:rFonts w:ascii="Calibri" w:cs="Calibri" w:eastAsia="Calibri" w:hAnsi="Calibri"/>
          <w:b/>
          <w:bCs/>
          <w:sz w:val="21"/>
          <w:szCs w:val="21"/>
        </w:rPr>
        <w:t xml:space="preserve">Warranty 9 (Financial Facilities, Borrowings and Guarantees)</w:t>
      </w:r>
    </w:p>
    <w:p>
      <w:pPr>
        <w:spacing w:after="130"/>
        <w:jc w:val="both"/>
      </w:pPr>
      <w:r>
        <w:rPr>
          <w:rFonts w:ascii="Calibri" w:cs="Calibri" w:eastAsia="Calibri" w:hAnsi="Calibri"/>
          <w:sz w:val="21"/>
          <w:szCs w:val="21"/>
        </w:rPr>
        <w:t xml:space="preserve">The Company has the following borrowings and financial facilities, full particulars of which (including the related facility letters, debentures and security documents) are contained in the Disclosure Bundle at Bundle ref 2.1 to 2.6: (a) a committed overdraft and revolving working capital facility of £750,000 provided by Helix’s clearing bank, secured by a debenture incorporating fixed and floating charges over the Company’s assets and undertaking; (b) a confidential invoice discounting facility with a facility limit of £2,000,000, of which £1,142,800 was drawn as at the Locked Box Date, secured by a debenture and a fixed charge over the Company’s book debts; and (c) hire purchase and asset finance agreements in respect of certain owned vehicles in the Vehicle Fleet, under which £638,400 of capital was outstanding as at the Locked Box Date. The overdraft facility letter and the invoice discounting agreement each entitle the provider to review or terminate the facility on a change of control of the Company; the Sellers have notified each provider of the Transaction, and it is intended that each facility be repaid and each related Encumbrance released with effect from Completion in accordance with paragraph 1.8 of Part 1 of Schedule 2 to the Agreement. This disclosure is made against Warranties 9.1, 9.2, 9.3 and 9.4, and is also relevant to Warranty 14.1.</w:t>
      </w:r>
    </w:p>
    <w:p>
      <w:pPr>
        <w:tabs>
          <w:tab w:val="left" w:pos="620"/>
        </w:tabs>
        <w:spacing w:after="110" w:before="160"/>
        <w:ind w:left="620" w:hanging="620"/>
      </w:pPr>
      <w:r>
        <w:rPr>
          <w:rFonts w:ascii="Calibri" w:cs="Calibri" w:eastAsia="Calibri" w:hAnsi="Calibri"/>
          <w:b/>
          <w:bCs/>
          <w:sz w:val="21"/>
          <w:szCs w:val="21"/>
        </w:rPr>
        <w:t xml:space="preserve">5.3</w:t>
      </w:r>
      <w:r>
        <w:rPr>
          <w:rFonts w:ascii="Calibri" w:cs="Calibri" w:eastAsia="Calibri" w:hAnsi="Calibri"/>
          <w:b/>
          <w:bCs/>
          <w:sz w:val="21"/>
          <w:szCs w:val="21"/>
        </w:rPr>
        <w:t xml:space="preserve">	</w:t>
      </w:r>
      <w:r>
        <w:rPr>
          <w:rFonts w:ascii="Calibri" w:cs="Calibri" w:eastAsia="Calibri" w:hAnsi="Calibri"/>
          <w:b/>
          <w:bCs/>
          <w:sz w:val="21"/>
          <w:szCs w:val="21"/>
        </w:rPr>
        <w:t xml:space="preserve">Warranty 11 and Warranty 12 (Material Contracts; Customers and Suppliers)</w:t>
      </w:r>
    </w:p>
    <w:p>
      <w:pPr>
        <w:spacing w:after="130"/>
        <w:jc w:val="both"/>
      </w:pPr>
      <w:r>
        <w:rPr>
          <w:rFonts w:ascii="Calibri" w:cs="Calibri" w:eastAsia="Calibri" w:hAnsi="Calibri"/>
          <w:sz w:val="21"/>
          <w:szCs w:val="21"/>
        </w:rPr>
        <w:t xml:space="preserve">Full and accurate particulars of each Material Contract are set out in Schedule 1 to this Disclosure Letter, and a true and complete copy of each Material Contract is contained in the Disclosure Bundle. This disclosure is made against Warranties 11.1, 11.2, 11.3 and 11.4 and against Warranties 12.1 and 12.2. The Purchaser’s attention is drawn in particular to the change of control provisions, and to the customer and supplier consents obtained in respect of them, identified in Schedule 1.</w:t>
      </w:r>
    </w:p>
    <w:p>
      <w:pPr>
        <w:tabs>
          <w:tab w:val="left" w:pos="620"/>
        </w:tabs>
        <w:spacing w:after="110" w:before="160"/>
        <w:ind w:left="620" w:hanging="620"/>
      </w:pPr>
      <w:r>
        <w:rPr>
          <w:rFonts w:ascii="Calibri" w:cs="Calibri" w:eastAsia="Calibri" w:hAnsi="Calibri"/>
          <w:b/>
          <w:bCs/>
          <w:sz w:val="21"/>
          <w:szCs w:val="21"/>
        </w:rPr>
        <w:t xml:space="preserve">5.4</w:t>
      </w:r>
      <w:r>
        <w:rPr>
          <w:rFonts w:ascii="Calibri" w:cs="Calibri" w:eastAsia="Calibri" w:hAnsi="Calibri"/>
          <w:b/>
          <w:bCs/>
          <w:sz w:val="21"/>
          <w:szCs w:val="21"/>
        </w:rPr>
        <w:t xml:space="preserve">	</w:t>
      </w:r>
      <w:r>
        <w:rPr>
          <w:rFonts w:ascii="Calibri" w:cs="Calibri" w:eastAsia="Calibri" w:hAnsi="Calibri"/>
          <w:b/>
          <w:bCs/>
          <w:sz w:val="21"/>
          <w:szCs w:val="21"/>
        </w:rPr>
        <w:t xml:space="preserve">Warranty 13 (Trading and Commercial Matters)</w:t>
      </w:r>
    </w:p>
    <w:p>
      <w:pPr>
        <w:spacing w:after="130"/>
        <w:jc w:val="both"/>
      </w:pPr>
      <w:r>
        <w:rPr>
          <w:rFonts w:ascii="Calibri" w:cs="Calibri" w:eastAsia="Calibri" w:hAnsi="Calibri"/>
          <w:sz w:val="21"/>
          <w:szCs w:val="21"/>
        </w:rPr>
        <w:t xml:space="preserve">In the ordinary course of the Business the Company receives, and resolves under its standard terms of business, routine customer complaints and claims relating to parcels said to have been lost, delayed or damaged in transit. As at the date of this Disclosure Letter three such claims, each notified in writing and each relating to consignments of a value exceeding £5,000, remain outstanding; particulars are set out in paragraph 2 of Schedule 2, and each is being handled in the ordinary course and (where applicable) under the Company’s goods-in-transit insurance. This disclosure is made against Warranties 13.1 and 13.2.</w:t>
      </w:r>
    </w:p>
    <w:p>
      <w:pPr>
        <w:tabs>
          <w:tab w:val="left" w:pos="620"/>
        </w:tabs>
        <w:spacing w:after="110" w:before="160"/>
        <w:ind w:left="620" w:hanging="620"/>
      </w:pPr>
      <w:r>
        <w:rPr>
          <w:rFonts w:ascii="Calibri" w:cs="Calibri" w:eastAsia="Calibri" w:hAnsi="Calibri"/>
          <w:b/>
          <w:bCs/>
          <w:sz w:val="21"/>
          <w:szCs w:val="21"/>
        </w:rPr>
        <w:t xml:space="preserve">5.5</w:t>
      </w:r>
      <w:r>
        <w:rPr>
          <w:rFonts w:ascii="Calibri" w:cs="Calibri" w:eastAsia="Calibri" w:hAnsi="Calibri"/>
          <w:b/>
          <w:bCs/>
          <w:sz w:val="21"/>
          <w:szCs w:val="21"/>
        </w:rPr>
        <w:t xml:space="preserve">	</w:t>
      </w:r>
      <w:r>
        <w:rPr>
          <w:rFonts w:ascii="Calibri" w:cs="Calibri" w:eastAsia="Calibri" w:hAnsi="Calibri"/>
          <w:b/>
          <w:bCs/>
          <w:sz w:val="21"/>
          <w:szCs w:val="21"/>
        </w:rPr>
        <w:t xml:space="preserve">Warranty 14 (Assets, Plant and the Vehicle Fleet)</w:t>
      </w:r>
    </w:p>
    <w:p>
      <w:pPr>
        <w:spacing w:after="130"/>
        <w:jc w:val="both"/>
      </w:pPr>
      <w:r>
        <w:rPr>
          <w:rFonts w:ascii="Calibri" w:cs="Calibri" w:eastAsia="Calibri" w:hAnsi="Calibri"/>
          <w:sz w:val="21"/>
          <w:szCs w:val="21"/>
        </w:rPr>
        <w:t xml:space="preserve">The Company operates a Vehicle Fleet of 134 vehicles, comprising 96 owned panel vans, 30 panel vans held under the contract hire master agreement with Trafford Fleet Solutions Limited referred to in Schedule 1, and 8 larger goods vehicles. A schedule of the Vehicle Fleet, setting out for each vehicle its registration mark, make and model, ownership or finance status, and MOT and vehicle excise duty position, is contained in the Disclosure Bundle at Bundle ref 5.1. The owned vehicles which are the subject of the hire purchase and asset finance agreements referred to in paragraph 5.2 are subject to the title retention and security of the relevant finance providers. This disclosure is made against Warranties 14.1, 14.2 and 14.3.</w:t>
      </w:r>
    </w:p>
    <w:p>
      <w:pPr>
        <w:tabs>
          <w:tab w:val="left" w:pos="620"/>
        </w:tabs>
        <w:spacing w:after="110" w:before="160"/>
        <w:ind w:left="620" w:hanging="620"/>
      </w:pPr>
      <w:r>
        <w:rPr>
          <w:rFonts w:ascii="Calibri" w:cs="Calibri" w:eastAsia="Calibri" w:hAnsi="Calibri"/>
          <w:b/>
          <w:bCs/>
          <w:sz w:val="21"/>
          <w:szCs w:val="21"/>
        </w:rPr>
        <w:t xml:space="preserve">5.6</w:t>
      </w:r>
      <w:r>
        <w:rPr>
          <w:rFonts w:ascii="Calibri" w:cs="Calibri" w:eastAsia="Calibri" w:hAnsi="Calibri"/>
          <w:b/>
          <w:bCs/>
          <w:sz w:val="21"/>
          <w:szCs w:val="21"/>
        </w:rPr>
        <w:t xml:space="preserve">	</w:t>
      </w:r>
      <w:r>
        <w:rPr>
          <w:rFonts w:ascii="Calibri" w:cs="Calibri" w:eastAsia="Calibri" w:hAnsi="Calibri"/>
          <w:b/>
          <w:bCs/>
          <w:sz w:val="21"/>
          <w:szCs w:val="21"/>
        </w:rPr>
        <w:t xml:space="preserve">Warranty 15 (Intellectual Property)</w:t>
      </w:r>
    </w:p>
    <w:p>
      <w:pPr>
        <w:spacing w:after="130"/>
        <w:jc w:val="both"/>
      </w:pPr>
      <w:r>
        <w:rPr>
          <w:rFonts w:ascii="Calibri" w:cs="Calibri" w:eastAsia="Calibri" w:hAnsi="Calibri"/>
          <w:sz w:val="21"/>
          <w:szCs w:val="21"/>
        </w:rPr>
        <w:t xml:space="preserve">Full particulars of the registered Intellectual Property, the pending applications and the domain names owned by the Company are set out in Schedule 3 to this Disclosure Letter. The Purchaser’s attention is drawn to paragraph 4 of Schedule 3, which discloses, against Warranty 15.4, the position in relation to intellectual property created by a former consultant of the Company and the confirmatory deed of assignment subsequently obtained. This disclosure is made against Warranties 15.1, 15.2, 15.3 and 15.4.</w:t>
      </w:r>
    </w:p>
    <w:p>
      <w:pPr>
        <w:tabs>
          <w:tab w:val="left" w:pos="620"/>
        </w:tabs>
        <w:spacing w:after="110" w:before="160"/>
        <w:ind w:left="620" w:hanging="620"/>
      </w:pPr>
      <w:r>
        <w:rPr>
          <w:rFonts w:ascii="Calibri" w:cs="Calibri" w:eastAsia="Calibri" w:hAnsi="Calibri"/>
          <w:b/>
          <w:bCs/>
          <w:sz w:val="21"/>
          <w:szCs w:val="21"/>
        </w:rPr>
        <w:t xml:space="preserve">5.7</w:t>
      </w:r>
      <w:r>
        <w:rPr>
          <w:rFonts w:ascii="Calibri" w:cs="Calibri" w:eastAsia="Calibri" w:hAnsi="Calibri"/>
          <w:b/>
          <w:bCs/>
          <w:sz w:val="21"/>
          <w:szCs w:val="21"/>
        </w:rPr>
        <w:t xml:space="preserve">	</w:t>
      </w:r>
      <w:r>
        <w:rPr>
          <w:rFonts w:ascii="Calibri" w:cs="Calibri" w:eastAsia="Calibri" w:hAnsi="Calibri"/>
          <w:b/>
          <w:bCs/>
          <w:sz w:val="21"/>
          <w:szCs w:val="21"/>
        </w:rPr>
        <w:t xml:space="preserve">Warranty 18 (The Properties)</w:t>
      </w:r>
    </w:p>
    <w:p>
      <w:pPr>
        <w:spacing w:after="130"/>
        <w:jc w:val="both"/>
      </w:pPr>
      <w:r>
        <w:rPr>
          <w:rFonts w:ascii="Calibri" w:cs="Calibri" w:eastAsia="Calibri" w:hAnsi="Calibri"/>
          <w:sz w:val="21"/>
          <w:szCs w:val="21"/>
        </w:rPr>
        <w:t xml:space="preserve">The Company holds three leasehold Properties, brief particulars of the leases of which are set out in Schedule 5 to this Disclosure Letter. The Company owns no freehold property. The Purchaser’s attention is drawn to the schedule of dilapidations served in respect of the Leeds depot, disclosed at paragraph 3 of Schedule 5 against Warranty 18.3. This disclosure is made against Warranties 18.1, 18.2, 18.3 and 18.4.</w:t>
      </w:r>
    </w:p>
    <w:p>
      <w:pPr>
        <w:tabs>
          <w:tab w:val="left" w:pos="620"/>
        </w:tabs>
        <w:spacing w:after="110" w:before="160"/>
        <w:ind w:left="620" w:hanging="620"/>
      </w:pPr>
      <w:r>
        <w:rPr>
          <w:rFonts w:ascii="Calibri" w:cs="Calibri" w:eastAsia="Calibri" w:hAnsi="Calibri"/>
          <w:b/>
          <w:bCs/>
          <w:sz w:val="21"/>
          <w:szCs w:val="21"/>
        </w:rPr>
        <w:t xml:space="preserve">5.8</w:t>
      </w:r>
      <w:r>
        <w:rPr>
          <w:rFonts w:ascii="Calibri" w:cs="Calibri" w:eastAsia="Calibri" w:hAnsi="Calibri"/>
          <w:b/>
          <w:bCs/>
          <w:sz w:val="21"/>
          <w:szCs w:val="21"/>
        </w:rPr>
        <w:t xml:space="preserve">	</w:t>
      </w:r>
      <w:r>
        <w:rPr>
          <w:rFonts w:ascii="Calibri" w:cs="Calibri" w:eastAsia="Calibri" w:hAnsi="Calibri"/>
          <w:b/>
          <w:bCs/>
          <w:sz w:val="21"/>
          <w:szCs w:val="21"/>
        </w:rPr>
        <w:t xml:space="preserve">Warranty 20 (Employees, Workers and Consultants)</w:t>
      </w:r>
    </w:p>
    <w:p>
      <w:pPr>
        <w:spacing w:after="130"/>
        <w:jc w:val="both"/>
      </w:pPr>
      <w:r>
        <w:rPr>
          <w:rFonts w:ascii="Calibri" w:cs="Calibri" w:eastAsia="Calibri" w:hAnsi="Calibri"/>
          <w:sz w:val="21"/>
          <w:szCs w:val="21"/>
        </w:rPr>
        <w:t xml:space="preserve">Particulars of the Company’s headcount analysed by department, of the engagement of self-employed owner-driver couriers, of the terms of employment of the Key Employees and of other employees earning basic remuneration in excess of £75,000, and of the bonus and transaction bonus arrangements operated by the Company, are set out in Schedule 4 to this Disclosure Letter. This disclosure is made against Warranties 20.1, 20.2, 20.3 and 20.4, and the transaction bonus arrangements disclosed in paragraph 4 of Schedule 4 are also disclosed against Warranty 8.2 (Leakage).</w:t>
      </w:r>
    </w:p>
    <w:p>
      <w:pPr>
        <w:tabs>
          <w:tab w:val="left" w:pos="620"/>
        </w:tabs>
        <w:spacing w:after="110" w:before="160"/>
        <w:ind w:left="620" w:hanging="620"/>
      </w:pPr>
      <w:r>
        <w:rPr>
          <w:rFonts w:ascii="Calibri" w:cs="Calibri" w:eastAsia="Calibri" w:hAnsi="Calibri"/>
          <w:b/>
          <w:bCs/>
          <w:sz w:val="21"/>
          <w:szCs w:val="21"/>
        </w:rPr>
        <w:t xml:space="preserve">5.9</w:t>
      </w:r>
      <w:r>
        <w:rPr>
          <w:rFonts w:ascii="Calibri" w:cs="Calibri" w:eastAsia="Calibri" w:hAnsi="Calibri"/>
          <w:b/>
          <w:bCs/>
          <w:sz w:val="21"/>
          <w:szCs w:val="21"/>
        </w:rPr>
        <w:t xml:space="preserve">	</w:t>
      </w:r>
      <w:r>
        <w:rPr>
          <w:rFonts w:ascii="Calibri" w:cs="Calibri" w:eastAsia="Calibri" w:hAnsi="Calibri"/>
          <w:b/>
          <w:bCs/>
          <w:sz w:val="21"/>
          <w:szCs w:val="21"/>
        </w:rPr>
        <w:t xml:space="preserve">Warranty 21 (Pensions)</w:t>
      </w:r>
    </w:p>
    <w:p>
      <w:pPr>
        <w:spacing w:after="130"/>
        <w:jc w:val="both"/>
      </w:pPr>
      <w:r>
        <w:rPr>
          <w:rFonts w:ascii="Calibri" w:cs="Calibri" w:eastAsia="Calibri" w:hAnsi="Calibri"/>
          <w:sz w:val="21"/>
          <w:szCs w:val="21"/>
        </w:rPr>
        <w:t xml:space="preserve">The Company operates a single defined contribution automatic enrolment workplace pension arrangement for its eligible jobholders, the contributions to which are administered through a master trust pension provider. The Company makes employer contributions at the statutory minimum rate, save in respect of the Key Employees and certain managers, for whom enhanced employer contributions of between 5 and 8 per cent. of pensionable pay are made. Particulars of the arrangement, including the participation agreement and the most recent contribution schedules, are contained in the Disclosure Bundle at Bundle ref 8.1. The Company does not operate, and has never operated, contributed to or participated in, any defined benefit or final salary pension scheme. This disclosure is made against Warranties 21.1, 21.2 and 21.3.</w:t>
      </w:r>
    </w:p>
    <w:p>
      <w:pPr>
        <w:tabs>
          <w:tab w:val="left" w:pos="620"/>
        </w:tabs>
        <w:spacing w:after="110" w:before="160"/>
        <w:ind w:left="620" w:hanging="620"/>
      </w:pPr>
      <w:r>
        <w:rPr>
          <w:rFonts w:ascii="Calibri" w:cs="Calibri" w:eastAsia="Calibri" w:hAnsi="Calibri"/>
          <w:b/>
          <w:bCs/>
          <w:sz w:val="21"/>
          <w:szCs w:val="21"/>
        </w:rPr>
        <w:t xml:space="preserve">5.10</w:t>
      </w:r>
      <w:r>
        <w:rPr>
          <w:rFonts w:ascii="Calibri" w:cs="Calibri" w:eastAsia="Calibri" w:hAnsi="Calibri"/>
          <w:b/>
          <w:bCs/>
          <w:sz w:val="21"/>
          <w:szCs w:val="21"/>
        </w:rPr>
        <w:t xml:space="preserve">	</w:t>
      </w:r>
      <w:r>
        <w:rPr>
          <w:rFonts w:ascii="Calibri" w:cs="Calibri" w:eastAsia="Calibri" w:hAnsi="Calibri"/>
          <w:b/>
          <w:bCs/>
          <w:sz w:val="21"/>
          <w:szCs w:val="21"/>
        </w:rPr>
        <w:t xml:space="preserve">Warranty 22 (Litigation, Disputes and Investigations)</w:t>
      </w:r>
    </w:p>
    <w:p>
      <w:pPr>
        <w:spacing w:after="130"/>
        <w:jc w:val="both"/>
      </w:pPr>
      <w:r>
        <w:rPr>
          <w:rFonts w:ascii="Calibri" w:cs="Calibri" w:eastAsia="Calibri" w:hAnsi="Calibri"/>
          <w:sz w:val="21"/>
          <w:szCs w:val="21"/>
        </w:rPr>
        <w:t xml:space="preserve">The Company is the respondent to one set of employment tribunal proceedings, particulars of which are set out in paragraph 1 of Schedule 2 to this Disclosure Letter. Save for those proceedings, and for the routine goods-in-transit and consumer claims referred to in paragraph 5.4 and paragraph 2 of Schedule 2, the Company is not engaged in any litigation, arbitration or other proceedings, and no such proceedings are pending or threatened. This disclosure is made against Warranties 22.1, 22.2, 22.3 and 22.4, and is also relevant to Warranty 20.3.</w:t>
      </w:r>
    </w:p>
    <w:p>
      <w:pPr>
        <w:tabs>
          <w:tab w:val="left" w:pos="620"/>
        </w:tabs>
        <w:spacing w:after="110" w:before="160"/>
        <w:ind w:left="620" w:hanging="620"/>
      </w:pPr>
      <w:r>
        <w:rPr>
          <w:rFonts w:ascii="Calibri" w:cs="Calibri" w:eastAsia="Calibri" w:hAnsi="Calibri"/>
          <w:b/>
          <w:bCs/>
          <w:sz w:val="21"/>
          <w:szCs w:val="21"/>
        </w:rPr>
        <w:t xml:space="preserve">5.11</w:t>
      </w:r>
      <w:r>
        <w:rPr>
          <w:rFonts w:ascii="Calibri" w:cs="Calibri" w:eastAsia="Calibri" w:hAnsi="Calibri"/>
          <w:b/>
          <w:bCs/>
          <w:sz w:val="21"/>
          <w:szCs w:val="21"/>
        </w:rPr>
        <w:t xml:space="preserve">	</w:t>
      </w:r>
      <w:r>
        <w:rPr>
          <w:rFonts w:ascii="Calibri" w:cs="Calibri" w:eastAsia="Calibri" w:hAnsi="Calibri"/>
          <w:b/>
          <w:bCs/>
          <w:sz w:val="21"/>
          <w:szCs w:val="21"/>
        </w:rPr>
        <w:t xml:space="preserve">Warranty 25 (Licences, Permits and Transport Regulation)</w:t>
      </w:r>
    </w:p>
    <w:p>
      <w:pPr>
        <w:spacing w:after="130"/>
        <w:jc w:val="both"/>
      </w:pPr>
      <w:r>
        <w:rPr>
          <w:rFonts w:ascii="Calibri" w:cs="Calibri" w:eastAsia="Calibri" w:hAnsi="Calibri"/>
          <w:sz w:val="21"/>
          <w:szCs w:val="21"/>
        </w:rPr>
        <w:t xml:space="preserve">The Company holds a standard national goods vehicle operator’s licence, licence number OB1086421, granted by the Traffic Commissioner for the North West of England Traffic Area, authorising the operation of goods vehicles from operating centres at Helix House, Trafford Park and Unit 7, Ashburton Industrial Estate, Trafford Park; and operations from the Leeds depot are authorised under a margin variation to that licence registered in the North East of England Traffic Area. The Company is also registered as an upper tier waste carrier with the Environment Agency under registration CBDU284417. Copies of the licence, the variation and the registration are contained in the Disclosure Bundle at Bundle ref 1.4 to 1.6. A change in the legal entity controlling an operator’s licence holder must be notified to the relevant Traffic Commissioner; the Sellers and the Purchaser have agreed that the requisite notification will be made promptly following Completion. This disclosure is made against Warranties 25.1, 25.2 and 25.3.</w:t>
      </w:r>
    </w:p>
    <w:p>
      <w:pPr>
        <w:tabs>
          <w:tab w:val="left" w:pos="620"/>
        </w:tabs>
        <w:spacing w:after="110" w:before="160"/>
        <w:ind w:left="620" w:hanging="620"/>
      </w:pPr>
      <w:r>
        <w:rPr>
          <w:rFonts w:ascii="Calibri" w:cs="Calibri" w:eastAsia="Calibri" w:hAnsi="Calibri"/>
          <w:b/>
          <w:bCs/>
          <w:sz w:val="21"/>
          <w:szCs w:val="21"/>
        </w:rPr>
        <w:t xml:space="preserve">5.12</w:t>
      </w:r>
      <w:r>
        <w:rPr>
          <w:rFonts w:ascii="Calibri" w:cs="Calibri" w:eastAsia="Calibri" w:hAnsi="Calibri"/>
          <w:b/>
          <w:bCs/>
          <w:sz w:val="21"/>
          <w:szCs w:val="21"/>
        </w:rPr>
        <w:t xml:space="preserve">	</w:t>
      </w:r>
      <w:r>
        <w:rPr>
          <w:rFonts w:ascii="Calibri" w:cs="Calibri" w:eastAsia="Calibri" w:hAnsi="Calibri"/>
          <w:b/>
          <w:bCs/>
          <w:sz w:val="21"/>
          <w:szCs w:val="21"/>
        </w:rPr>
        <w:t xml:space="preserve">Warranty 26 (Insurance)</w:t>
      </w:r>
    </w:p>
    <w:p>
      <w:pPr>
        <w:spacing w:after="130"/>
        <w:jc w:val="both"/>
      </w:pPr>
      <w:r>
        <w:rPr>
          <w:rFonts w:ascii="Calibri" w:cs="Calibri" w:eastAsia="Calibri" w:hAnsi="Calibri"/>
          <w:sz w:val="21"/>
          <w:szCs w:val="21"/>
        </w:rPr>
        <w:t xml:space="preserve">Particulars of the insurance policies maintained by or for the benefit of the Company are set out in Schedule 6 to this Disclosure Letter. The Purchaser’s attention is drawn to the outstanding motor claim disclosed at paragraph 2 of Schedule 6, against Warranty 26.3. This disclosure is made against Warranties 26.1, 26.2 and 26.3.</w:t>
      </w:r>
    </w:p>
    <w:p>
      <w:pPr>
        <w:tabs>
          <w:tab w:val="left" w:pos="620"/>
        </w:tabs>
        <w:spacing w:after="110" w:before="160"/>
        <w:ind w:left="620" w:hanging="620"/>
      </w:pPr>
      <w:r>
        <w:rPr>
          <w:rFonts w:ascii="Calibri" w:cs="Calibri" w:eastAsia="Calibri" w:hAnsi="Calibri"/>
          <w:b/>
          <w:bCs/>
          <w:sz w:val="21"/>
          <w:szCs w:val="21"/>
        </w:rPr>
        <w:t xml:space="preserve">5.13</w:t>
      </w:r>
      <w:r>
        <w:rPr>
          <w:rFonts w:ascii="Calibri" w:cs="Calibri" w:eastAsia="Calibri" w:hAnsi="Calibri"/>
          <w:b/>
          <w:bCs/>
          <w:sz w:val="21"/>
          <w:szCs w:val="21"/>
        </w:rPr>
        <w:t xml:space="preserve">	</w:t>
      </w:r>
      <w:r>
        <w:rPr>
          <w:rFonts w:ascii="Calibri" w:cs="Calibri" w:eastAsia="Calibri" w:hAnsi="Calibri"/>
          <w:b/>
          <w:bCs/>
          <w:sz w:val="21"/>
          <w:szCs w:val="21"/>
        </w:rPr>
        <w:t xml:space="preserve">Part B of Schedule 3 (Tax Warranties)</w:t>
      </w:r>
    </w:p>
    <w:p>
      <w:pPr>
        <w:spacing w:after="130"/>
        <w:jc w:val="both"/>
      </w:pPr>
      <w:r>
        <w:rPr>
          <w:rFonts w:ascii="Calibri" w:cs="Calibri" w:eastAsia="Calibri" w:hAnsi="Calibri"/>
          <w:sz w:val="21"/>
          <w:szCs w:val="21"/>
        </w:rPr>
        <w:t xml:space="preserve">The matters disclosed in Schedule 7 to this Disclosure Letter are disclosed against the Tax Warranties set out in Part B of Schedule 3 to the Agreement, against the specific Tax Warranty paragraphs identified in that Schedule.</w:t>
      </w:r>
    </w:p>
    <w:p>
      <w:pPr>
        <w:pageBreakBefore/>
        <w:spacing w:after="60"/>
        <w:jc w:val="center"/>
      </w:pPr>
      <w:r>
        <w:rPr>
          <w:rFonts w:ascii="Calibri" w:cs="Calibri" w:eastAsia="Calibri" w:hAnsi="Calibri"/>
          <w:b/>
          <w:bCs/>
          <w:sz w:val="23"/>
          <w:szCs w:val="23"/>
        </w:rPr>
        <w:t xml:space="preserve">SCHEDULE 1</w:t>
      </w:r>
    </w:p>
    <w:p>
      <w:pPr>
        <w:spacing w:after="80"/>
        <w:jc w:val="center"/>
      </w:pPr>
      <w:r>
        <w:rPr>
          <w:rFonts w:ascii="Calibri" w:cs="Calibri" w:eastAsia="Calibri" w:hAnsi="Calibri"/>
          <w:b/>
          <w:bCs/>
          <w:sz w:val="21"/>
          <w:szCs w:val="21"/>
        </w:rPr>
        <w:t xml:space="preserve">MATERIAL CONTRACTS</w:t>
      </w:r>
    </w:p>
    <w:p>
      <w:pPr>
        <w:spacing w:after="80"/>
        <w:jc w:val="center"/>
      </w:pPr>
      <w:r>
        <w:rPr>
          <w:rFonts w:ascii="Calibri" w:cs="Calibri" w:eastAsia="Calibri" w:hAnsi="Calibri"/>
          <w:i/>
          <w:iCs/>
          <w:sz w:val="19"/>
          <w:szCs w:val="19"/>
        </w:rPr>
        <w:t xml:space="preserve">Disclosed against Warranty 11 and Warranty 12</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Part A — Material customer contracts</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1840"/>
        <w:gridCol w:w="2620"/>
        <w:gridCol w:w="1500"/>
        <w:gridCol w:w="1700"/>
        <w:gridCol w:w="1366"/>
      </w:tblGrid>
      <w:tr>
        <w:tc>
          <w:tcPr>
            <w:tcW w:type="dxa" w:w="184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Counterparty</w:t>
            </w:r>
          </w:p>
        </w:tc>
        <w:tc>
          <w:tcPr>
            <w:tcW w:type="dxa" w:w="26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Nature of contract</w:t>
            </w:r>
          </w:p>
        </w:tc>
        <w:tc>
          <w:tcPr>
            <w:tcW w:type="dxa" w:w="150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Date</w:t>
            </w:r>
          </w:p>
        </w:tc>
        <w:tc>
          <w:tcPr>
            <w:tcW w:type="dxa" w:w="170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Term and termination</w:t>
            </w:r>
          </w:p>
        </w:tc>
        <w:tc>
          <w:tcPr>
            <w:tcW w:type="dxa" w:w="1366"/>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Approx. annual value</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Northern Retail Group plc</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Master Services Agreement for last-mile parcel delivery across the North West and Yorkshire (the Company’s largest customer).</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April 2022</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Initial term to 31 March 2026, then rolling 12-month terms; terminable by either party on 6 months’ written notice.</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£6,250,000</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Pemberton &amp; Hyde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Carriage Services Agreement for two-person home delivery of furniture and homeware.</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14 September 2021 (varied 3 May 2023)</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Rolling 12-month term; terminable on 90 days’ written notice.</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£2,840,000</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GreenLeaf Grocers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Same-Day Grocery Delivery Framework Agreement.</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20 June 2023</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Rolling term; terminable on 3 months’ written notice.</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£3,420,000</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MedDirect Pharmacy Services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Temperature-Controlled Delivery Services Agreement for the carriage of pharmacy and medicines consignments.</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2 November 2022</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Fixed 4-year term to 1 November 2026.</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£1,910,000</w:t>
            </w:r>
          </w:p>
        </w:tc>
      </w:tr>
    </w:tbl>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Part B — Material supplier contracts</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1840"/>
        <w:gridCol w:w="2620"/>
        <w:gridCol w:w="1500"/>
        <w:gridCol w:w="1700"/>
        <w:gridCol w:w="1366"/>
      </w:tblGrid>
      <w:tr>
        <w:tc>
          <w:tcPr>
            <w:tcW w:type="dxa" w:w="184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Counterparty</w:t>
            </w:r>
          </w:p>
        </w:tc>
        <w:tc>
          <w:tcPr>
            <w:tcW w:type="dxa" w:w="26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Nature of contract</w:t>
            </w:r>
          </w:p>
        </w:tc>
        <w:tc>
          <w:tcPr>
            <w:tcW w:type="dxa" w:w="150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Date</w:t>
            </w:r>
          </w:p>
        </w:tc>
        <w:tc>
          <w:tcPr>
            <w:tcW w:type="dxa" w:w="170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Term and termination</w:t>
            </w:r>
          </w:p>
        </w:tc>
        <w:tc>
          <w:tcPr>
            <w:tcW w:type="dxa" w:w="1366"/>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Approx. annual value</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Trafford Fleet Solutions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Vehicle Contract Hire Master Agreement for delivery vans, drawn down under individual hire schedules.</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12 January 2021</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Master agreement rolling; individual hire schedules of 36 to 48 months each.</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£1,640,000</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Mercia Fuel Cards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Fuel Card and Fuel Supply Agreement.</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February 2022</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Rolling 12-month term; terminable on 60 days’ written notice.</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£930,000</w:t>
            </w:r>
          </w:p>
        </w:tc>
      </w:tr>
      <w:tr>
        <w:tc>
          <w:tcPr>
            <w:tcW w:type="dxa" w:w="18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RouteWise Software Limited</w:t>
            </w:r>
          </w:p>
        </w:tc>
        <w:tc>
          <w:tcPr>
            <w:tcW w:type="dxa" w:w="26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Software-as-a-Service Licence and Support Agreement for the routing, despatch and customer-notification platform underpinning the “Relay” system.</w:t>
            </w:r>
          </w:p>
        </w:tc>
        <w:tc>
          <w:tcPr>
            <w:tcW w:type="dxa" w:w="15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5 July 2023</w:t>
            </w:r>
          </w:p>
        </w:tc>
        <w:tc>
          <w:tcPr>
            <w:tcW w:type="dxa" w:w="17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Fixed 3-year term to 4 July 2026.</w:t>
            </w:r>
          </w:p>
        </w:tc>
        <w:tc>
          <w:tcPr>
            <w:tcW w:type="dxa" w:w="136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£236,000</w:t>
            </w:r>
          </w:p>
        </w:tc>
      </w:tr>
    </w:tbl>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Part C — Change of control and related disclosures</w:t>
      </w:r>
    </w:p>
    <w:p>
      <w:pPr>
        <w:tabs>
          <w:tab w:val="left" w:pos="620"/>
        </w:tabs>
        <w:spacing w:after="130"/>
        <w:ind w:left="620" w:hanging="620"/>
        <w:jc w:val="both"/>
      </w:pPr>
      <w:r>
        <w:rPr>
          <w:rFonts w:ascii="Calibri" w:cs="Calibri" w:eastAsia="Calibri" w:hAnsi="Calibri"/>
          <w:sz w:val="21"/>
          <w:szCs w:val="21"/>
        </w:rPr>
        <w:t xml:space="preserve">1</w:t>
      </w:r>
      <w:r>
        <w:rPr>
          <w:rFonts w:ascii="Calibri" w:cs="Calibri" w:eastAsia="Calibri" w:hAnsi="Calibri"/>
          <w:sz w:val="21"/>
          <w:szCs w:val="21"/>
        </w:rPr>
        <w:t xml:space="preserve">	</w:t>
      </w:r>
      <w:r>
        <w:rPr>
          <w:rFonts w:ascii="Calibri" w:cs="Calibri" w:eastAsia="Calibri" w:hAnsi="Calibri"/>
          <w:sz w:val="21"/>
          <w:szCs w:val="21"/>
        </w:rPr>
        <w:t xml:space="preserve">Clause 18.4 of the Temperature-Controlled Delivery Services Agreement with </w:t>
      </w:r>
      <w:r>
        <w:rPr>
          <w:rFonts w:ascii="Calibri" w:cs="Calibri" w:eastAsia="Calibri" w:hAnsi="Calibri"/>
          <w:b/>
          <w:bCs/>
          <w:sz w:val="21"/>
          <w:szCs w:val="21"/>
        </w:rPr>
        <w:t xml:space="preserve">MedDirect Pharmacy Services Limited</w:t>
      </w:r>
      <w:r>
        <w:rPr>
          <w:rFonts w:ascii="Calibri" w:cs="Calibri" w:eastAsia="Calibri" w:hAnsi="Calibri"/>
          <w:sz w:val="21"/>
          <w:szCs w:val="21"/>
        </w:rPr>
        <w:t xml:space="preserve"> requires the customer’s prior written consent to a change of control of the Company. The Company requested that consent by letter dated 10 October 2024, and MedDirect Pharmacy Services Limited granted its written consent to the Transaction on 28 October 2024 (Bundle ref 3.4).</w:t>
      </w:r>
    </w:p>
    <w:p>
      <w:pPr>
        <w:tabs>
          <w:tab w:val="left" w:pos="620"/>
        </w:tabs>
        <w:spacing w:after="130"/>
        <w:ind w:left="620" w:hanging="620"/>
        <w:jc w:val="both"/>
      </w:pPr>
      <w:r>
        <w:rPr>
          <w:rFonts w:ascii="Calibri" w:cs="Calibri" w:eastAsia="Calibri" w:hAnsi="Calibri"/>
          <w:sz w:val="21"/>
          <w:szCs w:val="21"/>
        </w:rPr>
        <w:t xml:space="preserve">2</w:t>
      </w:r>
      <w:r>
        <w:rPr>
          <w:rFonts w:ascii="Calibri" w:cs="Calibri" w:eastAsia="Calibri" w:hAnsi="Calibri"/>
          <w:sz w:val="21"/>
          <w:szCs w:val="21"/>
        </w:rPr>
        <w:t xml:space="preserve">	</w:t>
      </w:r>
      <w:r>
        <w:rPr>
          <w:rFonts w:ascii="Calibri" w:cs="Calibri" w:eastAsia="Calibri" w:hAnsi="Calibri"/>
          <w:sz w:val="21"/>
          <w:szCs w:val="21"/>
        </w:rPr>
        <w:t xml:space="preserve">Clause 14.2 of the Software-as-a-Service Licence and Support Agreement with </w:t>
      </w:r>
      <w:r>
        <w:rPr>
          <w:rFonts w:ascii="Calibri" w:cs="Calibri" w:eastAsia="Calibri" w:hAnsi="Calibri"/>
          <w:b/>
          <w:bCs/>
          <w:sz w:val="21"/>
          <w:szCs w:val="21"/>
        </w:rPr>
        <w:t xml:space="preserve">RouteWise Software Limited</w:t>
      </w:r>
      <w:r>
        <w:rPr>
          <w:rFonts w:ascii="Calibri" w:cs="Calibri" w:eastAsia="Calibri" w:hAnsi="Calibri"/>
          <w:sz w:val="21"/>
          <w:szCs w:val="21"/>
        </w:rPr>
        <w:t xml:space="preserve"> entitles the supplier to terminate that agreement on a change of control of the Company. RouteWise Software Limited confirmed in writing on 25 October 2024 that it consents to the Transaction and will not exercise that right of termination (Bundle ref 4.7).</w:t>
      </w:r>
    </w:p>
    <w:p>
      <w:pPr>
        <w:tabs>
          <w:tab w:val="left" w:pos="620"/>
        </w:tabs>
        <w:spacing w:after="130"/>
        <w:ind w:left="620" w:hanging="620"/>
        <w:jc w:val="both"/>
      </w:pPr>
      <w:r>
        <w:rPr>
          <w:rFonts w:ascii="Calibri" w:cs="Calibri" w:eastAsia="Calibri" w:hAnsi="Calibri"/>
          <w:sz w:val="21"/>
          <w:szCs w:val="21"/>
        </w:rPr>
        <w:t xml:space="preserve">3</w:t>
      </w:r>
      <w:r>
        <w:rPr>
          <w:rFonts w:ascii="Calibri" w:cs="Calibri" w:eastAsia="Calibri" w:hAnsi="Calibri"/>
          <w:sz w:val="21"/>
          <w:szCs w:val="21"/>
        </w:rPr>
        <w:t xml:space="preserve">	</w:t>
      </w:r>
      <w:r>
        <w:rPr>
          <w:rFonts w:ascii="Calibri" w:cs="Calibri" w:eastAsia="Calibri" w:hAnsi="Calibri"/>
          <w:sz w:val="21"/>
          <w:szCs w:val="21"/>
        </w:rPr>
        <w:t xml:space="preserve">Northern Retail Group plc accounts for approximately 28 per cent. of the turnover of the Company for the financial year ended on the Accounts Date. Its Master Services Agreement is in its fixed term to 31 March 2026. Northern Retail Group plc has indicated to the Company, in the ordinary course, that it intends to conduct a competitive re-tender of its last-mile delivery requirements during 2025 ahead of that expiry. No notice to terminate, and no notice of an intention to cease or materially to reduce trading, has been given. This matter is disclosed against Warranty 12.1.</w:t>
      </w:r>
    </w:p>
    <w:p>
      <w:pPr>
        <w:tabs>
          <w:tab w:val="left" w:pos="620"/>
        </w:tabs>
        <w:spacing w:after="130"/>
        <w:ind w:left="620" w:hanging="620"/>
        <w:jc w:val="both"/>
      </w:pPr>
      <w:r>
        <w:rPr>
          <w:rFonts w:ascii="Calibri" w:cs="Calibri" w:eastAsia="Calibri" w:hAnsi="Calibri"/>
          <w:sz w:val="21"/>
          <w:szCs w:val="21"/>
        </w:rPr>
        <w:t xml:space="preserve">4</w:t>
      </w:r>
      <w:r>
        <w:rPr>
          <w:rFonts w:ascii="Calibri" w:cs="Calibri" w:eastAsia="Calibri" w:hAnsi="Calibri"/>
          <w:sz w:val="21"/>
          <w:szCs w:val="21"/>
        </w:rPr>
        <w:t xml:space="preserve">	</w:t>
      </w:r>
      <w:r>
        <w:rPr>
          <w:rFonts w:ascii="Calibri" w:cs="Calibri" w:eastAsia="Calibri" w:hAnsi="Calibri"/>
          <w:sz w:val="21"/>
          <w:szCs w:val="21"/>
        </w:rPr>
        <w:t xml:space="preserve">By letter dated 9 August 2024 GreenLeaf Grocers Limited gave notice to the Company that, with effect from 1 November 2024, it would withdraw its Liverpool city same-day grocery service line from the framework arrangement, while continuing all other service lines unchanged. The withdrawn service line represented annual revenue of approximately £210,000. This partial reduction is disclosed against Warranty 12.1.</w:t>
      </w:r>
    </w:p>
    <w:p>
      <w:pPr>
        <w:pageBreakBefore/>
        <w:spacing w:after="60"/>
        <w:jc w:val="center"/>
      </w:pPr>
      <w:r>
        <w:rPr>
          <w:rFonts w:ascii="Calibri" w:cs="Calibri" w:eastAsia="Calibri" w:hAnsi="Calibri"/>
          <w:b/>
          <w:bCs/>
          <w:sz w:val="23"/>
          <w:szCs w:val="23"/>
        </w:rPr>
        <w:t xml:space="preserve">SCHEDULE 2</w:t>
      </w:r>
    </w:p>
    <w:p>
      <w:pPr>
        <w:spacing w:after="80"/>
        <w:jc w:val="center"/>
      </w:pPr>
      <w:r>
        <w:rPr>
          <w:rFonts w:ascii="Calibri" w:cs="Calibri" w:eastAsia="Calibri" w:hAnsi="Calibri"/>
          <w:b/>
          <w:bCs/>
          <w:sz w:val="21"/>
          <w:szCs w:val="21"/>
        </w:rPr>
        <w:t xml:space="preserve">LITIGATION AND DISPUTES</w:t>
      </w:r>
    </w:p>
    <w:p>
      <w:pPr>
        <w:spacing w:after="80"/>
        <w:jc w:val="center"/>
      </w:pPr>
      <w:r>
        <w:rPr>
          <w:rFonts w:ascii="Calibri" w:cs="Calibri" w:eastAsia="Calibri" w:hAnsi="Calibri"/>
          <w:i/>
          <w:iCs/>
          <w:sz w:val="19"/>
          <w:szCs w:val="19"/>
        </w:rPr>
        <w:t xml:space="preserve">Disclosed against Warranty 22 (and, as to paragraph 1, Warranty 20.3)</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1.  Employment tribunal proceedings</w:t>
      </w:r>
    </w:p>
    <w:p>
      <w:pPr>
        <w:tabs>
          <w:tab w:val="left" w:pos="620"/>
        </w:tabs>
        <w:spacing w:after="130"/>
        <w:ind w:left="620" w:hanging="620"/>
        <w:jc w:val="both"/>
      </w:pPr>
      <w:r>
        <w:rPr>
          <w:rFonts w:ascii="Calibri" w:cs="Calibri" w:eastAsia="Calibri" w:hAnsi="Calibri"/>
          <w:sz w:val="21"/>
          <w:szCs w:val="21"/>
        </w:rPr>
        <w:t xml:space="preserve">1.1</w:t>
      </w:r>
      <w:r>
        <w:rPr>
          <w:rFonts w:ascii="Calibri" w:cs="Calibri" w:eastAsia="Calibri" w:hAnsi="Calibri"/>
          <w:sz w:val="21"/>
          <w:szCs w:val="21"/>
        </w:rPr>
        <w:t xml:space="preserve">	</w:t>
      </w:r>
      <w:r>
        <w:rPr>
          <w:rFonts w:ascii="Calibri" w:cs="Calibri" w:eastAsia="Calibri" w:hAnsi="Calibri"/>
          <w:sz w:val="21"/>
          <w:szCs w:val="21"/>
        </w:rPr>
        <w:t xml:space="preserve">The Company is the respondent to proceedings in the Employment Tribunal brought by Mr Daniel Worthington, a former delivery driver, under case number 2408736/2024 in the Manchester Employment Tribunal. Mr Worthington’s employment was terminated on 14 June 2024. The claim, as set out in the claim form (form ET1) presented on 19 August 2024, comprises a complaint of unfair dismissal and a complaint of unlawful deduction from wages.</w:t>
      </w:r>
    </w:p>
    <w:p>
      <w:pPr>
        <w:tabs>
          <w:tab w:val="left" w:pos="620"/>
        </w:tabs>
        <w:spacing w:after="130"/>
        <w:ind w:left="620" w:hanging="620"/>
        <w:jc w:val="both"/>
      </w:pPr>
      <w:r>
        <w:rPr>
          <w:rFonts w:ascii="Calibri" w:cs="Calibri" w:eastAsia="Calibri" w:hAnsi="Calibri"/>
          <w:sz w:val="21"/>
          <w:szCs w:val="21"/>
        </w:rPr>
        <w:t xml:space="preserve">1.2</w:t>
      </w:r>
      <w:r>
        <w:rPr>
          <w:rFonts w:ascii="Calibri" w:cs="Calibri" w:eastAsia="Calibri" w:hAnsi="Calibri"/>
          <w:sz w:val="21"/>
          <w:szCs w:val="21"/>
        </w:rPr>
        <w:t xml:space="preserve">	</w:t>
      </w:r>
      <w:r>
        <w:rPr>
          <w:rFonts w:ascii="Calibri" w:cs="Calibri" w:eastAsia="Calibri" w:hAnsi="Calibri"/>
          <w:sz w:val="21"/>
          <w:szCs w:val="21"/>
        </w:rPr>
        <w:t xml:space="preserve">An ACAS early conciliation certificate was issued on 22 July 2024. The Company filed its response (form ET3), denying both complaints, on 23 September 2024. A preliminary hearing for case management has been listed for 4 February 2025. The Company is advised by its employment solicitors and intends to defend the proceedings.</w:t>
      </w:r>
    </w:p>
    <w:p>
      <w:pPr>
        <w:tabs>
          <w:tab w:val="left" w:pos="620"/>
        </w:tabs>
        <w:spacing w:after="130"/>
        <w:ind w:left="620" w:hanging="620"/>
        <w:jc w:val="both"/>
      </w:pPr>
      <w:r>
        <w:rPr>
          <w:rFonts w:ascii="Calibri" w:cs="Calibri" w:eastAsia="Calibri" w:hAnsi="Calibri"/>
          <w:sz w:val="21"/>
          <w:szCs w:val="21"/>
        </w:rPr>
        <w:t xml:space="preserve">1.3</w:t>
      </w:r>
      <w:r>
        <w:rPr>
          <w:rFonts w:ascii="Calibri" w:cs="Calibri" w:eastAsia="Calibri" w:hAnsi="Calibri"/>
          <w:sz w:val="21"/>
          <w:szCs w:val="21"/>
        </w:rPr>
        <w:t xml:space="preserve">	</w:t>
      </w:r>
      <w:r>
        <w:rPr>
          <w:rFonts w:ascii="Calibri" w:cs="Calibri" w:eastAsia="Calibri" w:hAnsi="Calibri"/>
          <w:sz w:val="21"/>
          <w:szCs w:val="21"/>
        </w:rPr>
        <w:t xml:space="preserve">The Sellers’ good faith estimate of the Company’s likely aggregate exposure, if the proceedings were to be wholly unsuccessful, is in the region of £9,000 to £14,000, inclusive of any basic award, compensatory award and award for unlawful deductions. No provision has been made for the claim in the Locked Box Accounts. Copies of the ET1, the ET3 and the related correspondence are contained in the Disclosure Bundle at Bundle ref 11.1.</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2.  Goods-in-transit and consumer claims</w:t>
      </w:r>
    </w:p>
    <w:p>
      <w:pPr>
        <w:tabs>
          <w:tab w:val="left" w:pos="620"/>
        </w:tabs>
        <w:spacing w:after="130"/>
        <w:ind w:left="620" w:hanging="620"/>
        <w:jc w:val="both"/>
      </w:pPr>
      <w:r>
        <w:rPr>
          <w:rFonts w:ascii="Calibri" w:cs="Calibri" w:eastAsia="Calibri" w:hAnsi="Calibri"/>
          <w:sz w:val="21"/>
          <w:szCs w:val="21"/>
        </w:rPr>
        <w:t xml:space="preserve">2.1</w:t>
      </w:r>
      <w:r>
        <w:rPr>
          <w:rFonts w:ascii="Calibri" w:cs="Calibri" w:eastAsia="Calibri" w:hAnsi="Calibri"/>
          <w:sz w:val="21"/>
          <w:szCs w:val="21"/>
        </w:rPr>
        <w:t xml:space="preserve">	</w:t>
      </w:r>
      <w:r>
        <w:rPr>
          <w:rFonts w:ascii="Calibri" w:cs="Calibri" w:eastAsia="Calibri" w:hAnsi="Calibri"/>
          <w:sz w:val="21"/>
          <w:szCs w:val="21"/>
        </w:rPr>
        <w:t xml:space="preserve">In the ordinary course of the Business the Company receives routine claims for compensation in respect of parcels said to have been lost, delayed or damaged in transit, which are resolved under the Company’s standard terms of business and, where the value justifies it, under its goods-in-transit insurance. As at the date of this Disclosure Letter the following three claims, each relating to a consignment of a value exceeding £5,000, remain outstanding and are disclosed against Warranties 13.1, 13.2 and 26.3:</w:t>
      </w:r>
    </w:p>
    <w:p>
      <w:pPr>
        <w:tabs>
          <w:tab w:val="left" w:pos="1240"/>
        </w:tabs>
        <w:spacing w:after="130"/>
        <w:ind w:left="1240" w:hanging="620"/>
        <w:jc w:val="both"/>
      </w:pPr>
      <w:r>
        <w:rPr>
          <w:rFonts w:ascii="Calibri" w:cs="Calibri" w:eastAsia="Calibri" w:hAnsi="Calibri"/>
          <w:sz w:val="21"/>
          <w:szCs w:val="21"/>
        </w:rPr>
        <w:t xml:space="preserve">2.1.1</w:t>
      </w:r>
      <w:r>
        <w:rPr>
          <w:rFonts w:ascii="Calibri" w:cs="Calibri" w:eastAsia="Calibri" w:hAnsi="Calibri"/>
          <w:sz w:val="21"/>
          <w:szCs w:val="21"/>
        </w:rPr>
        <w:t xml:space="preserve">	</w:t>
      </w:r>
      <w:r>
        <w:rPr>
          <w:rFonts w:ascii="Calibri" w:cs="Calibri" w:eastAsia="Calibri" w:hAnsi="Calibri"/>
          <w:sz w:val="21"/>
          <w:szCs w:val="21"/>
        </w:rPr>
        <w:t xml:space="preserve">a claim notified by Pemberton &amp; Hyde Limited on 12 September 2024 in respect of a consignment of furniture valued at £7,400 said to have been damaged in transit, which has been referred to the Company’s goods-in-transit insurer;</w:t>
      </w:r>
    </w:p>
    <w:p>
      <w:pPr>
        <w:tabs>
          <w:tab w:val="left" w:pos="1240"/>
        </w:tabs>
        <w:spacing w:after="130"/>
        <w:ind w:left="1240" w:hanging="620"/>
        <w:jc w:val="both"/>
      </w:pPr>
      <w:r>
        <w:rPr>
          <w:rFonts w:ascii="Calibri" w:cs="Calibri" w:eastAsia="Calibri" w:hAnsi="Calibri"/>
          <w:sz w:val="21"/>
          <w:szCs w:val="21"/>
        </w:rPr>
        <w:t xml:space="preserve">2.1.2</w:t>
      </w:r>
      <w:r>
        <w:rPr>
          <w:rFonts w:ascii="Calibri" w:cs="Calibri" w:eastAsia="Calibri" w:hAnsi="Calibri"/>
          <w:sz w:val="21"/>
          <w:szCs w:val="21"/>
        </w:rPr>
        <w:t xml:space="preserve">	</w:t>
      </w:r>
      <w:r>
        <w:rPr>
          <w:rFonts w:ascii="Calibri" w:cs="Calibri" w:eastAsia="Calibri" w:hAnsi="Calibri"/>
          <w:sz w:val="21"/>
          <w:szCs w:val="21"/>
        </w:rPr>
        <w:t xml:space="preserve">a claim notified by a customer of GreenLeaf Grocers Limited on 1 October 2024 in respect of an undelivered consignment valued at £5,900, which is being investigated by the Company; and</w:t>
      </w:r>
    </w:p>
    <w:p>
      <w:pPr>
        <w:tabs>
          <w:tab w:val="left" w:pos="1240"/>
        </w:tabs>
        <w:spacing w:after="130"/>
        <w:ind w:left="1240" w:hanging="620"/>
        <w:jc w:val="both"/>
      </w:pPr>
      <w:r>
        <w:rPr>
          <w:rFonts w:ascii="Calibri" w:cs="Calibri" w:eastAsia="Calibri" w:hAnsi="Calibri"/>
          <w:sz w:val="21"/>
          <w:szCs w:val="21"/>
        </w:rPr>
        <w:t xml:space="preserve">2.1.3</w:t>
      </w:r>
      <w:r>
        <w:rPr>
          <w:rFonts w:ascii="Calibri" w:cs="Calibri" w:eastAsia="Calibri" w:hAnsi="Calibri"/>
          <w:sz w:val="21"/>
          <w:szCs w:val="21"/>
        </w:rPr>
        <w:t xml:space="preserve">	</w:t>
      </w:r>
      <w:r>
        <w:rPr>
          <w:rFonts w:ascii="Calibri" w:cs="Calibri" w:eastAsia="Calibri" w:hAnsi="Calibri"/>
          <w:sz w:val="21"/>
          <w:szCs w:val="21"/>
        </w:rPr>
        <w:t xml:space="preserve">a claim notified by an account customer on 18 October 2024 in respect of a pallet of goods valued at £9,250 said to have been mis-delivered, which is being handled by the Company under its standard terms.</w:t>
      </w:r>
    </w:p>
    <w:p>
      <w:pPr>
        <w:tabs>
          <w:tab w:val="left" w:pos="620"/>
        </w:tabs>
        <w:spacing w:after="130"/>
        <w:ind w:left="620" w:hanging="620"/>
        <w:jc w:val="both"/>
      </w:pPr>
      <w:r>
        <w:rPr>
          <w:rFonts w:ascii="Calibri" w:cs="Calibri" w:eastAsia="Calibri" w:hAnsi="Calibri"/>
          <w:sz w:val="21"/>
          <w:szCs w:val="21"/>
        </w:rPr>
        <w:t xml:space="preserve">2.2</w:t>
      </w:r>
      <w:r>
        <w:rPr>
          <w:rFonts w:ascii="Calibri" w:cs="Calibri" w:eastAsia="Calibri" w:hAnsi="Calibri"/>
          <w:sz w:val="21"/>
          <w:szCs w:val="21"/>
        </w:rPr>
        <w:t xml:space="preserve">	</w:t>
      </w:r>
      <w:r>
        <w:rPr>
          <w:rFonts w:ascii="Calibri" w:cs="Calibri" w:eastAsia="Calibri" w:hAnsi="Calibri"/>
          <w:sz w:val="21"/>
          <w:szCs w:val="21"/>
        </w:rPr>
        <w:t xml:space="preserve">None of the claims described in paragraph 2.1 has given rise to the issue of legal proceedings, and the Company does not consider any of them to be material to the Business.</w:t>
      </w:r>
    </w:p>
    <w:p>
      <w:pPr>
        <w:pageBreakBefore/>
        <w:spacing w:after="60"/>
        <w:jc w:val="center"/>
      </w:pPr>
      <w:r>
        <w:rPr>
          <w:rFonts w:ascii="Calibri" w:cs="Calibri" w:eastAsia="Calibri" w:hAnsi="Calibri"/>
          <w:b/>
          <w:bCs/>
          <w:sz w:val="23"/>
          <w:szCs w:val="23"/>
        </w:rPr>
        <w:t xml:space="preserve">SCHEDULE 3</w:t>
      </w:r>
    </w:p>
    <w:p>
      <w:pPr>
        <w:spacing w:after="80"/>
        <w:jc w:val="center"/>
      </w:pPr>
      <w:r>
        <w:rPr>
          <w:rFonts w:ascii="Calibri" w:cs="Calibri" w:eastAsia="Calibri" w:hAnsi="Calibri"/>
          <w:b/>
          <w:bCs/>
          <w:sz w:val="21"/>
          <w:szCs w:val="21"/>
        </w:rPr>
        <w:t xml:space="preserve">INTELLECTUAL PROPERTY</w:t>
      </w:r>
    </w:p>
    <w:p>
      <w:pPr>
        <w:spacing w:after="80"/>
        <w:jc w:val="center"/>
      </w:pPr>
      <w:r>
        <w:rPr>
          <w:rFonts w:ascii="Calibri" w:cs="Calibri" w:eastAsia="Calibri" w:hAnsi="Calibri"/>
          <w:i/>
          <w:iCs/>
          <w:sz w:val="19"/>
          <w:szCs w:val="19"/>
        </w:rPr>
        <w:t xml:space="preserve">Disclosed against Warranty 15</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1.  Registered trade marks and applications</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2050"/>
        <w:gridCol w:w="1640"/>
        <w:gridCol w:w="1430"/>
        <w:gridCol w:w="1820"/>
        <w:gridCol w:w="2086"/>
      </w:tblGrid>
      <w:tr>
        <w:tc>
          <w:tcPr>
            <w:tcW w:type="dxa" w:w="205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Mark</w:t>
            </w:r>
          </w:p>
        </w:tc>
        <w:tc>
          <w:tcPr>
            <w:tcW w:type="dxa" w:w="164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Type</w:t>
            </w:r>
          </w:p>
        </w:tc>
        <w:tc>
          <w:tcPr>
            <w:tcW w:type="dxa" w:w="143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Class(es)</w:t>
            </w:r>
          </w:p>
        </w:tc>
        <w:tc>
          <w:tcPr>
            <w:tcW w:type="dxa" w:w="18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Number</w:t>
            </w:r>
          </w:p>
        </w:tc>
        <w:tc>
          <w:tcPr>
            <w:tcW w:type="dxa" w:w="2086"/>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Status</w:t>
            </w:r>
          </w:p>
        </w:tc>
      </w:tr>
      <w:tr>
        <w:tc>
          <w:tcPr>
            <w:tcW w:type="dxa" w:w="20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HELIX LOGISTICS</w:t>
            </w:r>
          </w:p>
        </w:tc>
        <w:tc>
          <w:tcPr>
            <w:tcW w:type="dxa" w:w="16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Word mark</w:t>
            </w:r>
          </w:p>
        </w:tc>
        <w:tc>
          <w:tcPr>
            <w:tcW w:type="dxa" w:w="143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39</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UK00003456789</w:t>
            </w:r>
          </w:p>
        </w:tc>
        <w:tc>
          <w:tcPr>
            <w:tcW w:type="dxa" w:w="208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Registered 8 March 2017; in force; next renewal due 8 March 2027.</w:t>
            </w:r>
          </w:p>
        </w:tc>
      </w:tr>
      <w:tr>
        <w:tc>
          <w:tcPr>
            <w:tcW w:type="dxa" w:w="20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Helix “arrow” device</w:t>
            </w:r>
          </w:p>
        </w:tc>
        <w:tc>
          <w:tcPr>
            <w:tcW w:type="dxa" w:w="16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Figurative mark</w:t>
            </w:r>
          </w:p>
        </w:tc>
        <w:tc>
          <w:tcPr>
            <w:tcW w:type="dxa" w:w="143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39 and 42</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UK00003501234</w:t>
            </w:r>
          </w:p>
        </w:tc>
        <w:tc>
          <w:tcPr>
            <w:tcW w:type="dxa" w:w="208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Registered 19 January 2018; in force; next renewal due 19 January 2028.</w:t>
            </w:r>
          </w:p>
        </w:tc>
      </w:tr>
      <w:tr>
        <w:tc>
          <w:tcPr>
            <w:tcW w:type="dxa" w:w="20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HELIX RELAY</w:t>
            </w:r>
          </w:p>
        </w:tc>
        <w:tc>
          <w:tcPr>
            <w:tcW w:type="dxa" w:w="164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Word mark</w:t>
            </w:r>
          </w:p>
        </w:tc>
        <w:tc>
          <w:tcPr>
            <w:tcW w:type="dxa" w:w="143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39 and 42</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UK00003912345 (application)</w:t>
            </w:r>
          </w:p>
        </w:tc>
        <w:tc>
          <w:tcPr>
            <w:tcW w:type="dxa" w:w="208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Application filed 2 September 2024; examination pending.</w:t>
            </w:r>
          </w:p>
        </w:tc>
      </w:tr>
    </w:tbl>
    <w:p>
      <w:pPr>
        <w:spacing w:after="150" w:before="60"/>
        <w:jc w:val="both"/>
      </w:pPr>
      <w:r>
        <w:rPr>
          <w:rFonts w:ascii="Calibri" w:cs="Calibri" w:eastAsia="Calibri" w:hAnsi="Calibri"/>
          <w:sz w:val="20"/>
          <w:szCs w:val="20"/>
        </w:rPr>
        <w:t xml:space="preserve">All renewal, registration and maintenance fees due in respect of the registered marks have been paid. Copies of the registration certificates and the application are contained in the Disclosure Bundle at Bundle ref 6.1 to 6.3. This disclosure is made against Warranties 15.1, 15.2 and 15.3.</w:t>
      </w:r>
    </w:p>
    <w:p>
      <w:pPr>
        <w:spacing w:after="130"/>
        <w:jc w:val="both"/>
      </w:pPr>
      <w:r>
        <w:rPr>
          <w:rFonts w:ascii="Calibri" w:cs="Calibri" w:eastAsia="Calibri" w:hAnsi="Calibri"/>
          <w:b/>
          <w:bCs/>
          <w:sz w:val="21"/>
          <w:szCs w:val="21"/>
        </w:rPr>
        <w:t xml:space="preserve">2.  Domain names</w:t>
      </w:r>
    </w:p>
    <w:p>
      <w:pPr>
        <w:spacing w:after="130"/>
        <w:jc w:val="both"/>
      </w:pPr>
      <w:r>
        <w:rPr>
          <w:rFonts w:ascii="Calibri" w:cs="Calibri" w:eastAsia="Calibri" w:hAnsi="Calibri"/>
          <w:sz w:val="21"/>
          <w:szCs w:val="21"/>
        </w:rPr>
        <w:t xml:space="preserve">The following domain names are registered in the name of the Company: helixlogistics.co.uk and helixlogistics.com (each registered in 2016); helix-logistics.co.uk (registered 2018, held defensively); helixdelivery.co.uk (registered 2019); and helixrelay.co.uk (registered 2024). Particulars of the registrar and the renewal dates are contained in the Disclosure Bundle at Bundle ref 6.4.</w:t>
      </w:r>
    </w:p>
    <w:p>
      <w:pPr>
        <w:spacing w:after="130"/>
        <w:jc w:val="both"/>
      </w:pPr>
      <w:r>
        <w:rPr>
          <w:rFonts w:ascii="Calibri" w:cs="Calibri" w:eastAsia="Calibri" w:hAnsi="Calibri"/>
          <w:b/>
          <w:bCs/>
          <w:sz w:val="21"/>
          <w:szCs w:val="21"/>
        </w:rPr>
        <w:t xml:space="preserve">3.  Software and operating systems</w:t>
      </w:r>
    </w:p>
    <w:p>
      <w:pPr>
        <w:spacing w:after="130"/>
        <w:jc w:val="both"/>
      </w:pPr>
      <w:r>
        <w:rPr>
          <w:rFonts w:ascii="Calibri" w:cs="Calibri" w:eastAsia="Calibri" w:hAnsi="Calibri"/>
          <w:sz w:val="21"/>
          <w:szCs w:val="21"/>
        </w:rPr>
        <w:t xml:space="preserve">The routing, despatch, parcel-tracking and customer-notification platform operated by the Company under the “Relay” brand comprises (a) proprietary software developed by or for the Company and owned by it, and (b) the third party software licensed to the Company under the Software-as-a-Service Licence and Support Agreement with RouteWise Software Limited referred to in Schedule 1. The Company owns no patents and has made no patent applications.</w:t>
      </w:r>
    </w:p>
    <w:p>
      <w:pPr>
        <w:spacing w:after="130"/>
        <w:jc w:val="both"/>
      </w:pPr>
      <w:r>
        <w:rPr>
          <w:rFonts w:ascii="Calibri" w:cs="Calibri" w:eastAsia="Calibri" w:hAnsi="Calibri"/>
          <w:b/>
          <w:bCs/>
          <w:sz w:val="21"/>
          <w:szCs w:val="21"/>
        </w:rPr>
        <w:t xml:space="preserve">4.  Disclosure against Warranty 15.4 — consultant-created intellectual property</w:t>
      </w:r>
    </w:p>
    <w:p>
      <w:pPr>
        <w:spacing w:after="130"/>
        <w:jc w:val="both"/>
      </w:pPr>
      <w:r>
        <w:rPr>
          <w:rFonts w:ascii="Calibri" w:cs="Calibri" w:eastAsia="Calibri" w:hAnsi="Calibri"/>
          <w:sz w:val="21"/>
          <w:szCs w:val="21"/>
        </w:rPr>
        <w:t xml:space="preserve">Mr Aaron Pugh, a freelance software developer, was engaged by the Company on a consultancy basis between March 2019 and January 2020 to develop components of the despatch and route-optimisation modules of the Relay platform. The consultancy agreement under which Mr Pugh was engaged did not contain an express assignment to the Company of the intellectual property created by him in the course of that engagement. On 21 October 2024 Mr Pugh executed a confirmatory deed of assignment of intellectual property in favour of the Company, assigning to the Company with full title guarantee all such intellectual property rights. A copy of the consultancy agreement and of the confirmatory deed of assignment is contained in the Disclosure Bundle at Bundle ref 6.9. This matter is disclosed against Warranty 15.4.</w:t>
      </w:r>
    </w:p>
    <w:p>
      <w:pPr>
        <w:pageBreakBefore/>
        <w:spacing w:after="60"/>
        <w:jc w:val="center"/>
      </w:pPr>
      <w:r>
        <w:rPr>
          <w:rFonts w:ascii="Calibri" w:cs="Calibri" w:eastAsia="Calibri" w:hAnsi="Calibri"/>
          <w:b/>
          <w:bCs/>
          <w:sz w:val="23"/>
          <w:szCs w:val="23"/>
        </w:rPr>
        <w:t xml:space="preserve">SCHEDULE 4</w:t>
      </w:r>
    </w:p>
    <w:p>
      <w:pPr>
        <w:spacing w:after="80"/>
        <w:jc w:val="center"/>
      </w:pPr>
      <w:r>
        <w:rPr>
          <w:rFonts w:ascii="Calibri" w:cs="Calibri" w:eastAsia="Calibri" w:hAnsi="Calibri"/>
          <w:b/>
          <w:bCs/>
          <w:sz w:val="21"/>
          <w:szCs w:val="21"/>
        </w:rPr>
        <w:t xml:space="preserve">EMPLOYEES, WORKERS AND CONSULTANTS</w:t>
      </w:r>
    </w:p>
    <w:p>
      <w:pPr>
        <w:spacing w:after="80"/>
        <w:jc w:val="center"/>
      </w:pPr>
      <w:r>
        <w:rPr>
          <w:rFonts w:ascii="Calibri" w:cs="Calibri" w:eastAsia="Calibri" w:hAnsi="Calibri"/>
          <w:i/>
          <w:iCs/>
          <w:sz w:val="19"/>
          <w:szCs w:val="19"/>
        </w:rPr>
        <w:t xml:space="preserve">Disclosed against Warranty 20 (and, as to paragraph 4, Warranty 8.2)</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1.  Headcount by department</w:t>
      </w:r>
    </w:p>
    <w:p>
      <w:pPr>
        <w:spacing w:after="130"/>
        <w:jc w:val="both"/>
      </w:pPr>
      <w:r>
        <w:rPr>
          <w:rFonts w:ascii="Calibri" w:cs="Calibri" w:eastAsia="Calibri" w:hAnsi="Calibri"/>
          <w:sz w:val="20"/>
          <w:szCs w:val="20"/>
        </w:rPr>
        <w:t xml:space="preserve">The Company employed 232 employees as at 31 October 2024, analysed by department as follows:</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5400"/>
        <w:gridCol w:w="3626"/>
      </w:tblGrid>
      <w:tr>
        <w:tc>
          <w:tcPr>
            <w:tcW w:type="dxa" w:w="540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Department</w:t>
            </w:r>
          </w:p>
        </w:tc>
        <w:tc>
          <w:tcPr>
            <w:tcW w:type="dxa" w:w="3626"/>
            <w:shd w:fill="E4E9EF" w:color="auto" w:val="clear"/>
            <w:tcMar>
              <w:top w:type="dxa" w:w="70"/>
              <w:left w:type="dxa" w:w="110"/>
              <w:bottom w:type="dxa" w:w="70"/>
              <w:right w:type="dxa" w:w="110"/>
            </w:tcMar>
            <w:vAlign w:val="top"/>
          </w:tcPr>
          <w:p>
            <w:pPr>
              <w:spacing w:after="0"/>
              <w:jc w:val="center"/>
            </w:pPr>
            <w:r>
              <w:rPr>
                <w:rFonts w:ascii="Calibri" w:cs="Calibri" w:eastAsia="Calibri" w:hAnsi="Calibri"/>
                <w:b/>
                <w:bCs/>
                <w:sz w:val="21"/>
                <w:szCs w:val="21"/>
              </w:rPr>
              <w:t xml:space="preserve">Number of employees</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Delivery Operations (drivers and driver supervisors)</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158</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Warehouse and Sortation</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31</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Routing, Despatch and Control Room</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14</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Customer Service</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11</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Sales and Account Management</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6</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Finance, HR and Administration</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8</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Senior Management and Directors</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sz w:val="21"/>
                <w:szCs w:val="21"/>
              </w:rPr>
              <w:t xml:space="preserve">4</w:t>
            </w:r>
          </w:p>
        </w:tc>
      </w:tr>
      <w:tr>
        <w:tc>
          <w:tcPr>
            <w:tcW w:type="dxa" w:w="5400"/>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Total</w:t>
            </w:r>
          </w:p>
        </w:tc>
        <w:tc>
          <w:tcPr>
            <w:tcW w:type="dxa" w:w="3626"/>
            <w:tcMar>
              <w:top w:type="dxa" w:w="70"/>
              <w:left w:type="dxa" w:w="110"/>
              <w:bottom w:type="dxa" w:w="70"/>
              <w:right w:type="dxa" w:w="110"/>
            </w:tcMar>
            <w:vAlign w:val="top"/>
          </w:tcPr>
          <w:p>
            <w:pPr>
              <w:spacing w:after="0"/>
              <w:jc w:val="center"/>
            </w:pPr>
            <w:r>
              <w:rPr>
                <w:rFonts w:ascii="Calibri" w:cs="Calibri" w:eastAsia="Calibri" w:hAnsi="Calibri"/>
                <w:b/>
                <w:bCs/>
                <w:sz w:val="21"/>
                <w:szCs w:val="21"/>
              </w:rPr>
              <w:t xml:space="preserve">232</w:t>
            </w:r>
          </w:p>
        </w:tc>
      </w:tr>
    </w:tbl>
    <w:p>
      <w:pPr>
        <w:spacing w:after="150" w:before="80"/>
        <w:jc w:val="both"/>
      </w:pPr>
      <w:r>
        <w:rPr>
          <w:rFonts w:ascii="Calibri" w:cs="Calibri" w:eastAsia="Calibri" w:hAnsi="Calibri"/>
          <w:sz w:val="20"/>
          <w:szCs w:val="20"/>
        </w:rPr>
        <w:t xml:space="preserve">In addition to its employees, the Company engages approximately 40 self-employed owner-driver couriers on a contract-for-services basis to provide overflow and peak-period delivery capacity. The status of these arrangements is further addressed in paragraph 3 of Schedule 7. A schedule of the terms of employment or engagement of each director, employee, worker and consultant of the Company is contained in the Disclosure Bundle at Bundle ref 10.1.</w:t>
      </w:r>
    </w:p>
    <w:p>
      <w:pPr>
        <w:spacing w:after="130"/>
        <w:jc w:val="both"/>
      </w:pPr>
      <w:r>
        <w:rPr>
          <w:rFonts w:ascii="Calibri" w:cs="Calibri" w:eastAsia="Calibri" w:hAnsi="Calibri"/>
          <w:b/>
          <w:bCs/>
          <w:sz w:val="21"/>
          <w:szCs w:val="21"/>
        </w:rPr>
        <w:t xml:space="preserve">2.  Key Employees</w:t>
      </w:r>
    </w:p>
    <w:p>
      <w:pPr>
        <w:spacing w:after="130"/>
        <w:jc w:val="both"/>
      </w:pPr>
      <w:r>
        <w:rPr>
          <w:rFonts w:ascii="Calibri" w:cs="Calibri" w:eastAsia="Calibri" w:hAnsi="Calibri"/>
          <w:sz w:val="20"/>
          <w:szCs w:val="20"/>
        </w:rPr>
        <w:t xml:space="preserve">The following individuals are the Key Employees for the purposes of the Agreement. Each of Marcus Reardon and Lucy Brennan, and each other person named below, will enter into a new service agreement and a lock-in deed with the Company at Completion in accordance with the Key Employee Arrangements:</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1980"/>
        <w:gridCol w:w="2520"/>
        <w:gridCol w:w="1820"/>
        <w:gridCol w:w="1450"/>
        <w:gridCol w:w="1256"/>
      </w:tblGrid>
      <w:tr>
        <w:tc>
          <w:tcPr>
            <w:tcW w:type="dxa" w:w="198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Name</w:t>
            </w:r>
          </w:p>
        </w:tc>
        <w:tc>
          <w:tcPr>
            <w:tcW w:type="dxa" w:w="25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Role</w:t>
            </w:r>
          </w:p>
        </w:tc>
        <w:tc>
          <w:tcPr>
            <w:tcW w:type="dxa" w:w="18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Basic salary</w:t>
            </w:r>
          </w:p>
        </w:tc>
        <w:tc>
          <w:tcPr>
            <w:tcW w:type="dxa" w:w="145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Notice period</w:t>
            </w:r>
          </w:p>
        </w:tc>
        <w:tc>
          <w:tcPr>
            <w:tcW w:type="dxa" w:w="1256"/>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Bundle ref</w:t>
            </w:r>
          </w:p>
        </w:tc>
      </w:tr>
      <w:tr>
        <w:tc>
          <w:tcPr>
            <w:tcW w:type="dxa" w:w="19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Marcus Reardon</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Chief Executive Officer</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£180,000</w:t>
            </w:r>
          </w:p>
        </w:tc>
        <w:tc>
          <w:tcPr>
            <w:tcW w:type="dxa" w:w="14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12 months</w:t>
            </w:r>
          </w:p>
        </w:tc>
        <w:tc>
          <w:tcPr>
            <w:tcW w:type="dxa" w:w="125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10.2</w:t>
            </w:r>
          </w:p>
        </w:tc>
      </w:tr>
      <w:tr>
        <w:tc>
          <w:tcPr>
            <w:tcW w:type="dxa" w:w="19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Lucy Brennan</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Chief Operating Officer</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£155,000</w:t>
            </w:r>
          </w:p>
        </w:tc>
        <w:tc>
          <w:tcPr>
            <w:tcW w:type="dxa" w:w="14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12 months</w:t>
            </w:r>
          </w:p>
        </w:tc>
        <w:tc>
          <w:tcPr>
            <w:tcW w:type="dxa" w:w="125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10.3</w:t>
            </w:r>
          </w:p>
        </w:tc>
      </w:tr>
      <w:tr>
        <w:tc>
          <w:tcPr>
            <w:tcW w:type="dxa" w:w="19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David Okafor</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Finance Director</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£128,000</w:t>
            </w:r>
          </w:p>
        </w:tc>
        <w:tc>
          <w:tcPr>
            <w:tcW w:type="dxa" w:w="14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6 months</w:t>
            </w:r>
          </w:p>
        </w:tc>
        <w:tc>
          <w:tcPr>
            <w:tcW w:type="dxa" w:w="125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10.4</w:t>
            </w:r>
          </w:p>
        </w:tc>
      </w:tr>
      <w:tr>
        <w:tc>
          <w:tcPr>
            <w:tcW w:type="dxa" w:w="19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Priya Shah</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Operations Director (North)</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£104,000</w:t>
            </w:r>
          </w:p>
        </w:tc>
        <w:tc>
          <w:tcPr>
            <w:tcW w:type="dxa" w:w="14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6 months</w:t>
            </w:r>
          </w:p>
        </w:tc>
        <w:tc>
          <w:tcPr>
            <w:tcW w:type="dxa" w:w="125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10.5</w:t>
            </w:r>
          </w:p>
        </w:tc>
      </w:tr>
      <w:tr>
        <w:tc>
          <w:tcPr>
            <w:tcW w:type="dxa" w:w="19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Ian Caldwell</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Head of Routing and Technology</w:t>
            </w:r>
          </w:p>
        </w:tc>
        <w:tc>
          <w:tcPr>
            <w:tcW w:type="dxa" w:w="18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£96,000</w:t>
            </w:r>
          </w:p>
        </w:tc>
        <w:tc>
          <w:tcPr>
            <w:tcW w:type="dxa" w:w="145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3 months</w:t>
            </w:r>
          </w:p>
        </w:tc>
        <w:tc>
          <w:tcPr>
            <w:tcW w:type="dxa" w:w="125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10.6</w:t>
            </w:r>
          </w:p>
        </w:tc>
      </w:tr>
    </w:tbl>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3.  Other employees earning in excess of £75,000</w:t>
      </w:r>
    </w:p>
    <w:p>
      <w:pPr>
        <w:spacing w:after="130"/>
        <w:jc w:val="both"/>
      </w:pPr>
      <w:r>
        <w:rPr>
          <w:rFonts w:ascii="Calibri" w:cs="Calibri" w:eastAsia="Calibri" w:hAnsi="Calibri"/>
          <w:sz w:val="21"/>
          <w:szCs w:val="21"/>
        </w:rPr>
        <w:t xml:space="preserve">In addition to the Key Employees, two employees of the Company have annual basic remuneration in excess of £75,000: Ms Rachel Donovan, Head of Commercial (basic salary £82,000); and Mr Stephen Holt, Financial Controller (basic salary £78,500). So far as the Sellers are aware, no Key Employee, and no other employee earning basic remuneration in excess of £75,000, has given or received notice to terminate his or her employment, and no such person has indicated an intention to do so as a result of the Transaction. This disclosure is made against Warranty 20.2.</w:t>
      </w:r>
    </w:p>
    <w:p>
      <w:pPr>
        <w:spacing w:after="130"/>
        <w:jc w:val="both"/>
      </w:pPr>
      <w:r>
        <w:rPr>
          <w:rFonts w:ascii="Calibri" w:cs="Calibri" w:eastAsia="Calibri" w:hAnsi="Calibri"/>
          <w:b/>
          <w:bCs/>
          <w:sz w:val="21"/>
          <w:szCs w:val="21"/>
        </w:rPr>
        <w:t xml:space="preserve">4.  Bonus and transaction bonus arrangements</w:t>
      </w:r>
    </w:p>
    <w:p>
      <w:pPr>
        <w:tabs>
          <w:tab w:val="left" w:pos="620"/>
        </w:tabs>
        <w:spacing w:after="130"/>
        <w:ind w:left="620" w:hanging="620"/>
        <w:jc w:val="both"/>
      </w:pPr>
      <w:r>
        <w:rPr>
          <w:rFonts w:ascii="Calibri" w:cs="Calibri" w:eastAsia="Calibri" w:hAnsi="Calibri"/>
          <w:sz w:val="21"/>
          <w:szCs w:val="21"/>
        </w:rPr>
        <w:t xml:space="preserve">4.1</w:t>
      </w:r>
      <w:r>
        <w:rPr>
          <w:rFonts w:ascii="Calibri" w:cs="Calibri" w:eastAsia="Calibri" w:hAnsi="Calibri"/>
          <w:sz w:val="21"/>
          <w:szCs w:val="21"/>
        </w:rPr>
        <w:t xml:space="preserve">	</w:t>
      </w:r>
      <w:r>
        <w:rPr>
          <w:rFonts w:ascii="Calibri" w:cs="Calibri" w:eastAsia="Calibri" w:hAnsi="Calibri"/>
          <w:sz w:val="21"/>
          <w:szCs w:val="21"/>
        </w:rPr>
        <w:t xml:space="preserve">The Company operates a discretionary annual bonus scheme for management, control-room and account-management staff, under which the size of the bonus pool for each financial year is determined by the board of directors having regard to the Company’s performance. Particulars of the scheme and of the amounts paid in the two preceding financial years are contained in the Disclosure Bundle at Bundle ref 10.8.</w:t>
      </w:r>
    </w:p>
    <w:p>
      <w:pPr>
        <w:tabs>
          <w:tab w:val="left" w:pos="620"/>
        </w:tabs>
        <w:spacing w:after="130"/>
        <w:ind w:left="620" w:hanging="620"/>
        <w:jc w:val="both"/>
      </w:pPr>
      <w:r>
        <w:rPr>
          <w:rFonts w:ascii="Calibri" w:cs="Calibri" w:eastAsia="Calibri" w:hAnsi="Calibri"/>
          <w:sz w:val="21"/>
          <w:szCs w:val="21"/>
        </w:rPr>
        <w:t xml:space="preserve">4.2</w:t>
      </w:r>
      <w:r>
        <w:rPr>
          <w:rFonts w:ascii="Calibri" w:cs="Calibri" w:eastAsia="Calibri" w:hAnsi="Calibri"/>
          <w:sz w:val="21"/>
          <w:szCs w:val="21"/>
        </w:rPr>
        <w:t xml:space="preserve">	</w:t>
      </w:r>
      <w:r>
        <w:rPr>
          <w:rFonts w:ascii="Calibri" w:cs="Calibri" w:eastAsia="Calibri" w:hAnsi="Calibri"/>
          <w:sz w:val="21"/>
          <w:szCs w:val="21"/>
        </w:rPr>
        <w:t xml:space="preserve">By a resolution of the board of directors of the Company passed on 26 September 2024, the Company approved transaction bonus arrangements under which transaction bonuses of an aggregate amount of £240,000 are payable to seven members of the management team, conditional on, and payable following, Completion. These transaction bonuses constitute Permitted Leakage within clause 4.3.5 of the Agreement. This matter is disclosed against Warranty 20.4 and against Warranty 8.2 (Leakage). Particulars of the bonus arrangements and of the board resolution are contained in the Disclosure Bundle at Bundle ref 10.9.</w:t>
      </w:r>
    </w:p>
    <w:p>
      <w:pPr>
        <w:pageBreakBefore/>
        <w:spacing w:after="60"/>
        <w:jc w:val="center"/>
      </w:pPr>
      <w:r>
        <w:rPr>
          <w:rFonts w:ascii="Calibri" w:cs="Calibri" w:eastAsia="Calibri" w:hAnsi="Calibri"/>
          <w:b/>
          <w:bCs/>
          <w:sz w:val="23"/>
          <w:szCs w:val="23"/>
        </w:rPr>
        <w:t xml:space="preserve">SCHEDULE 5</w:t>
      </w:r>
    </w:p>
    <w:p>
      <w:pPr>
        <w:spacing w:after="80"/>
        <w:jc w:val="center"/>
      </w:pPr>
      <w:r>
        <w:rPr>
          <w:rFonts w:ascii="Calibri" w:cs="Calibri" w:eastAsia="Calibri" w:hAnsi="Calibri"/>
          <w:b/>
          <w:bCs/>
          <w:sz w:val="21"/>
          <w:szCs w:val="21"/>
        </w:rPr>
        <w:t xml:space="preserve">THE PROPERTIES</w:t>
      </w:r>
    </w:p>
    <w:p>
      <w:pPr>
        <w:spacing w:after="80"/>
        <w:jc w:val="center"/>
      </w:pPr>
      <w:r>
        <w:rPr>
          <w:rFonts w:ascii="Calibri" w:cs="Calibri" w:eastAsia="Calibri" w:hAnsi="Calibri"/>
          <w:i/>
          <w:iCs/>
          <w:sz w:val="19"/>
          <w:szCs w:val="19"/>
        </w:rPr>
        <w:t xml:space="preserve">Disclosed against Warranty 18</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sz w:val="20"/>
          <w:szCs w:val="20"/>
        </w:rPr>
        <w:t xml:space="preserve">The Company holds the following three leasehold Properties, and owns no freehold property. A copy of each lease, together with the related licences, rent review memoranda and consents, is contained in the Disclosure Bundle at Bundle ref 7.1 to 7.6.</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1.  Helix House, Wellington Road, Trafford Park, Manchester M17 1RA</w:t>
      </w:r>
    </w:p>
    <w:p>
      <w:pPr>
        <w:spacing w:after="130"/>
        <w:jc w:val="both"/>
      </w:pPr>
      <w:r>
        <w:rPr>
          <w:rFonts w:ascii="Calibri" w:cs="Calibri" w:eastAsia="Calibri" w:hAnsi="Calibri"/>
          <w:sz w:val="20"/>
          <w:szCs w:val="20"/>
        </w:rPr>
        <w:t xml:space="preserve">Use: registered office, head office and primary parcel sortation hub. Landlord: Trafford Park Estates Limited. Lease dated 24 May 2019 for a term of 10 years from and including 24 May 2019, expiring 23 May 2029. Current rent: £312,000 per annum. The lease provided for an upward-only rent review on the fifth anniversary of the term commencement; that review was agreed at £312,000 per annum and recorded in a rent review memorandum dated 19 July 2024. A tenant’s break option exercisable at the end of the seventh year of the term was not exercised and has lapsed. The lease contains a qualified covenant against assignment and underletting but contains no separate change of control provision.</w:t>
      </w:r>
    </w:p>
    <w:p>
      <w:pPr>
        <w:spacing w:after="130"/>
        <w:jc w:val="both"/>
      </w:pPr>
      <w:r>
        <w:rPr>
          <w:rFonts w:ascii="Calibri" w:cs="Calibri" w:eastAsia="Calibri" w:hAnsi="Calibri"/>
          <w:b/>
          <w:bCs/>
          <w:sz w:val="21"/>
          <w:szCs w:val="21"/>
        </w:rPr>
        <w:t xml:space="preserve">2.  Unit 7, Ashburton Industrial Estate, Mosley Road, Trafford Park, Manchester M17 1NL</w:t>
      </w:r>
    </w:p>
    <w:p>
      <w:pPr>
        <w:spacing w:after="130"/>
        <w:jc w:val="both"/>
      </w:pPr>
      <w:r>
        <w:rPr>
          <w:rFonts w:ascii="Calibri" w:cs="Calibri" w:eastAsia="Calibri" w:hAnsi="Calibri"/>
          <w:sz w:val="20"/>
          <w:szCs w:val="20"/>
        </w:rPr>
        <w:t xml:space="preserve">Use: warehouse and parcel sortation depot, and a secondary operating centre under the Company’s operator’s licence. Landlord: Ashburton Estates LLP. Lease dated 11 March 2021 for a term of 7 years, expiring 10 March 2028. Current rent: £186,000 per annum. The lease is held within the security of Part II of the Landlord and Tenant Act 1954.</w:t>
      </w:r>
    </w:p>
    <w:p>
      <w:pPr>
        <w:spacing w:after="130"/>
        <w:jc w:val="both"/>
      </w:pPr>
      <w:r>
        <w:rPr>
          <w:rFonts w:ascii="Calibri" w:cs="Calibri" w:eastAsia="Calibri" w:hAnsi="Calibri"/>
          <w:b/>
          <w:bCs/>
          <w:sz w:val="21"/>
          <w:szCs w:val="21"/>
        </w:rPr>
        <w:t xml:space="preserve">3.  Pinfold Lane Distribution Park, Holbeck, Leeds LS11 9TP</w:t>
      </w:r>
    </w:p>
    <w:p>
      <w:pPr>
        <w:spacing w:after="130"/>
        <w:jc w:val="both"/>
      </w:pPr>
      <w:r>
        <w:rPr>
          <w:rFonts w:ascii="Calibri" w:cs="Calibri" w:eastAsia="Calibri" w:hAnsi="Calibri"/>
          <w:sz w:val="20"/>
          <w:szCs w:val="20"/>
        </w:rPr>
        <w:t xml:space="preserve">Use: warehouse and regional delivery depot serving Yorkshire. Landlord: Aire Valley Logistics Limited. Lease dated 1 August 2022 for a term of 5 years, expiring 31 July 2027. Current rent: £142,000 per annum. By a schedule of dilapidations served by the landlord’s surveyor on 5 September 2024, the landlord has alleged minor disrepair to the loading-bay doors and to the surface of the yard. The Company is in discussion with the landlord in relation to the alleged disrepair and estimates the cost of the remedial works at approximately £18,000. No provision for that cost has been made in the Locked Box Accounts. This matter is disclosed against Warranty 18.3 (Bundle ref 7.6).</w:t>
      </w:r>
    </w:p>
    <w:p>
      <w:pPr>
        <w:pageBreakBefore/>
        <w:spacing w:after="60"/>
        <w:jc w:val="center"/>
      </w:pPr>
      <w:r>
        <w:rPr>
          <w:rFonts w:ascii="Calibri" w:cs="Calibri" w:eastAsia="Calibri" w:hAnsi="Calibri"/>
          <w:b/>
          <w:bCs/>
          <w:sz w:val="23"/>
          <w:szCs w:val="23"/>
        </w:rPr>
        <w:t xml:space="preserve">SCHEDULE 6</w:t>
      </w:r>
    </w:p>
    <w:p>
      <w:pPr>
        <w:spacing w:after="80"/>
        <w:jc w:val="center"/>
      </w:pPr>
      <w:r>
        <w:rPr>
          <w:rFonts w:ascii="Calibri" w:cs="Calibri" w:eastAsia="Calibri" w:hAnsi="Calibri"/>
          <w:b/>
          <w:bCs/>
          <w:sz w:val="21"/>
          <w:szCs w:val="21"/>
        </w:rPr>
        <w:t xml:space="preserve">INSURANCE</w:t>
      </w:r>
    </w:p>
    <w:p>
      <w:pPr>
        <w:spacing w:after="80"/>
        <w:jc w:val="center"/>
      </w:pPr>
      <w:r>
        <w:rPr>
          <w:rFonts w:ascii="Calibri" w:cs="Calibri" w:eastAsia="Calibri" w:hAnsi="Calibri"/>
          <w:i/>
          <w:iCs/>
          <w:sz w:val="19"/>
          <w:szCs w:val="19"/>
        </w:rPr>
        <w:t xml:space="preserve">Disclosed against Warranty 26</w:t>
      </w:r>
    </w:p>
    <w:p>
      <w:pPr>
        <w:spacing w:after="60"/>
      </w:pPr>
      <w:r>
        <w:rPr>
          <w:rFonts w:ascii="Calibri" w:cs="Calibri" w:eastAsia="Calibri" w:hAnsi="Calibri"/>
          <w:sz w:val="21"/>
          <w:szCs w:val="21"/>
        </w:rPr>
        <w:t xml:space="preserve"/>
      </w:r>
    </w:p>
    <w:p>
      <w:pPr>
        <w:spacing w:after="130"/>
        <w:jc w:val="both"/>
      </w:pPr>
      <w:r>
        <w:rPr>
          <w:rFonts w:ascii="Calibri" w:cs="Calibri" w:eastAsia="Calibri" w:hAnsi="Calibri"/>
          <w:b/>
          <w:bCs/>
          <w:sz w:val="21"/>
          <w:szCs w:val="21"/>
        </w:rPr>
        <w:t xml:space="preserve">1.  Insurance policies</w:t>
      </w:r>
    </w:p>
    <w:p>
      <w:pPr>
        <w:spacing w:after="130"/>
        <w:jc w:val="both"/>
      </w:pPr>
      <w:r>
        <w:rPr>
          <w:rFonts w:ascii="Calibri" w:cs="Calibri" w:eastAsia="Calibri" w:hAnsi="Calibri"/>
          <w:sz w:val="20"/>
          <w:szCs w:val="20"/>
        </w:rPr>
        <w:t xml:space="preserve">The insurance policies maintained by or for the benefit of the Company, each placed through the Company’s insurance broker, Carrington Hale Insurance Brokers Limited of Manchester, are as follows. Copies of the policy schedules and the current certificates of insurance are contained in the Disclosure Bundle at Bundle ref 12.1 to 12.6.</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2280"/>
        <w:gridCol w:w="2520"/>
        <w:gridCol w:w="2380"/>
        <w:gridCol w:w="1846"/>
      </w:tblGrid>
      <w:tr>
        <w:tc>
          <w:tcPr>
            <w:tcW w:type="dxa" w:w="228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Cover</w:t>
            </w:r>
          </w:p>
        </w:tc>
        <w:tc>
          <w:tcPr>
            <w:tcW w:type="dxa" w:w="252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Insurer</w:t>
            </w:r>
          </w:p>
        </w:tc>
        <w:tc>
          <w:tcPr>
            <w:tcW w:type="dxa" w:w="2380"/>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Limit of indemnity</w:t>
            </w:r>
          </w:p>
        </w:tc>
        <w:tc>
          <w:tcPr>
            <w:tcW w:type="dxa" w:w="1846"/>
            <w:shd w:fill="E4E9EF" w:color="auto" w:val="clear"/>
            <w:tcMar>
              <w:top w:type="dxa" w:w="70"/>
              <w:left w:type="dxa" w:w="110"/>
              <w:bottom w:type="dxa" w:w="70"/>
              <w:right w:type="dxa" w:w="110"/>
            </w:tcMar>
            <w:vAlign w:val="top"/>
          </w:tcPr>
          <w:p>
            <w:pPr>
              <w:spacing w:after="0"/>
              <w:jc w:val="left"/>
            </w:pPr>
            <w:r>
              <w:rPr>
                <w:rFonts w:ascii="Calibri" w:cs="Calibri" w:eastAsia="Calibri" w:hAnsi="Calibri"/>
                <w:b/>
                <w:bCs/>
                <w:sz w:val="21"/>
                <w:szCs w:val="21"/>
              </w:rPr>
              <w:t xml:space="preserve">Renewal date</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Motor fleet (comprehensive)</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Aldgate Insurance Company Limited</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Comprehensive cover for the Vehicle Fleet</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Goods in transit</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Aldgate Insurance Company Limited</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£250,000 any one vehicle; £1,000,000 any one event</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Employer’s liability</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Northgate Underwriters plc</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£10,000,000 any one occurrence</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Public and products liability</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Northgate Underwriters plc</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£10,000,000 any one occurrence</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Property damage and business interruption</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Northgate Underwriters plc</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Reinstatement value; 24-month indemnity period</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r>
        <w:tc>
          <w:tcPr>
            <w:tcW w:type="dxa" w:w="22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Directors’ and officers’ liability; cyber</w:t>
            </w:r>
          </w:p>
        </w:tc>
        <w:tc>
          <w:tcPr>
            <w:tcW w:type="dxa" w:w="252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Sterling Specialty Insurance Limited</w:t>
            </w:r>
          </w:p>
        </w:tc>
        <w:tc>
          <w:tcPr>
            <w:tcW w:type="dxa" w:w="2380"/>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£5,000,000 (D&amp;O); £2,000,000 (cyber)</w:t>
            </w:r>
          </w:p>
        </w:tc>
        <w:tc>
          <w:tcPr>
            <w:tcW w:type="dxa" w:w="1846"/>
            <w:tcMar>
              <w:top w:type="dxa" w:w="70"/>
              <w:left w:type="dxa" w:w="110"/>
              <w:bottom w:type="dxa" w:w="70"/>
              <w:right w:type="dxa" w:w="110"/>
            </w:tcMar>
            <w:vAlign w:val="top"/>
          </w:tcPr>
          <w:p>
            <w:pPr>
              <w:spacing w:after="0"/>
              <w:jc w:val="left"/>
            </w:pPr>
            <w:r>
              <w:rPr>
                <w:rFonts w:ascii="Calibri" w:cs="Calibri" w:eastAsia="Calibri" w:hAnsi="Calibri"/>
                <w:sz w:val="21"/>
                <w:szCs w:val="21"/>
              </w:rPr>
              <w:t xml:space="preserve">1 March 2025</w:t>
            </w:r>
          </w:p>
        </w:tc>
      </w:tr>
    </w:tbl>
    <w:p>
      <w:pPr>
        <w:spacing w:after="150" w:before="80"/>
        <w:jc w:val="both"/>
      </w:pPr>
      <w:r>
        <w:rPr>
          <w:rFonts w:ascii="Calibri" w:cs="Calibri" w:eastAsia="Calibri" w:hAnsi="Calibri"/>
          <w:sz w:val="20"/>
          <w:szCs w:val="20"/>
        </w:rPr>
        <w:t xml:space="preserve">All premiums due in respect of the policies have been paid, and all of the policies are in full force and effect.</w:t>
      </w:r>
    </w:p>
    <w:p>
      <w:pPr>
        <w:spacing w:after="130"/>
        <w:jc w:val="both"/>
      </w:pPr>
      <w:r>
        <w:rPr>
          <w:rFonts w:ascii="Calibri" w:cs="Calibri" w:eastAsia="Calibri" w:hAnsi="Calibri"/>
          <w:b/>
          <w:bCs/>
          <w:sz w:val="21"/>
          <w:szCs w:val="21"/>
        </w:rPr>
        <w:t xml:space="preserve">2.  Outstanding insurance claim</w:t>
      </w:r>
    </w:p>
    <w:p>
      <w:pPr>
        <w:spacing w:after="130"/>
        <w:jc w:val="both"/>
      </w:pPr>
      <w:r>
        <w:rPr>
          <w:rFonts w:ascii="Calibri" w:cs="Calibri" w:eastAsia="Calibri" w:hAnsi="Calibri"/>
          <w:sz w:val="21"/>
          <w:szCs w:val="21"/>
        </w:rPr>
        <w:t xml:space="preserve">One claim is outstanding under the Company’s motor fleet policy. On 3 September 2024 a Company delivery van was involved in a road traffic collision on the A56 near Stretford, Greater Manchester. The collision resulted in damage to a third party vehicle and a minor personal injury claim has been intimated on behalf of the third party driver. The claim is being handled by the motor fleet insurer, Aldgate Insurance Company Limited, and the Company’s policy excess is £1,000. The Sellers do not consider the claim to be material to the Business. This matter is disclosed against Warranty 26.3 (Bundle ref 12.7).</w:t>
      </w:r>
    </w:p>
    <w:p>
      <w:pPr>
        <w:pageBreakBefore/>
        <w:spacing w:after="60"/>
        <w:jc w:val="center"/>
      </w:pPr>
      <w:r>
        <w:rPr>
          <w:rFonts w:ascii="Calibri" w:cs="Calibri" w:eastAsia="Calibri" w:hAnsi="Calibri"/>
          <w:b/>
          <w:bCs/>
          <w:sz w:val="23"/>
          <w:szCs w:val="23"/>
        </w:rPr>
        <w:t xml:space="preserve">SCHEDULE 7</w:t>
      </w:r>
    </w:p>
    <w:p>
      <w:pPr>
        <w:spacing w:after="80"/>
        <w:jc w:val="center"/>
      </w:pPr>
      <w:r>
        <w:rPr>
          <w:rFonts w:ascii="Calibri" w:cs="Calibri" w:eastAsia="Calibri" w:hAnsi="Calibri"/>
          <w:b/>
          <w:bCs/>
          <w:sz w:val="21"/>
          <w:szCs w:val="21"/>
        </w:rPr>
        <w:t xml:space="preserve">TAXATION</w:t>
      </w:r>
    </w:p>
    <w:p>
      <w:pPr>
        <w:spacing w:after="80"/>
        <w:jc w:val="center"/>
      </w:pPr>
      <w:r>
        <w:rPr>
          <w:rFonts w:ascii="Calibri" w:cs="Calibri" w:eastAsia="Calibri" w:hAnsi="Calibri"/>
          <w:i/>
          <w:iCs/>
          <w:sz w:val="19"/>
          <w:szCs w:val="19"/>
        </w:rPr>
        <w:t xml:space="preserve">Disclosed against Part B of Schedule 3 to the Agreement (Tax Warranties)</w:t>
      </w:r>
    </w:p>
    <w:p>
      <w:pPr>
        <w:spacing w:after="60"/>
      </w:pPr>
      <w:r>
        <w:rPr>
          <w:rFonts w:ascii="Calibri" w:cs="Calibri" w:eastAsia="Calibri" w:hAnsi="Calibri"/>
          <w:sz w:val="21"/>
          <w:szCs w:val="21"/>
        </w:rPr>
        <w:t xml:space="preserve"/>
      </w:r>
    </w:p>
    <w:p>
      <w:pPr>
        <w:tabs>
          <w:tab w:val="left" w:pos="620"/>
        </w:tabs>
        <w:spacing w:after="130"/>
        <w:ind w:left="620" w:hanging="620"/>
        <w:jc w:val="both"/>
      </w:pPr>
      <w:r>
        <w:rPr>
          <w:rFonts w:ascii="Calibri" w:cs="Calibri" w:eastAsia="Calibri" w:hAnsi="Calibri"/>
          <w:sz w:val="21"/>
          <w:szCs w:val="21"/>
        </w:rPr>
        <w:t xml:space="preserve">1</w:t>
      </w:r>
      <w:r>
        <w:rPr>
          <w:rFonts w:ascii="Calibri" w:cs="Calibri" w:eastAsia="Calibri" w:hAnsi="Calibri"/>
          <w:sz w:val="21"/>
          <w:szCs w:val="21"/>
        </w:rPr>
        <w:t xml:space="preserve">	</w:t>
      </w:r>
      <w:r>
        <w:rPr>
          <w:rFonts w:ascii="Calibri" w:cs="Calibri" w:eastAsia="Calibri" w:hAnsi="Calibri"/>
          <w:b/>
          <w:bCs/>
          <w:sz w:val="21"/>
          <w:szCs w:val="21"/>
        </w:rPr>
        <w:t xml:space="preserve">Tax Warranty 2.1 (penalties, fines and surcharges).  </w:t>
      </w:r>
      <w:r>
        <w:rPr>
          <w:rFonts w:ascii="Calibri" w:cs="Calibri" w:eastAsia="Calibri" w:hAnsi="Calibri"/>
          <w:sz w:val="21"/>
          <w:szCs w:val="21"/>
        </w:rPr>
        <w:t xml:space="preserve">The Company incurred a value added tax default surcharge of £642 in respect of the VAT accounting period ended 31 March 2022, following the submission of the VAT return for that period four days after the due date as a result of a change in the Company’s bookkeeping personnel. The surcharge was paid in full on 19 May 2022. No further default has occurred and the Company is no longer within a VAT default surcharge or penalty period (Bundle ref 9.3).</w:t>
      </w:r>
    </w:p>
    <w:p>
      <w:pPr>
        <w:tabs>
          <w:tab w:val="left" w:pos="620"/>
        </w:tabs>
        <w:spacing w:after="130"/>
        <w:ind w:left="620" w:hanging="620"/>
        <w:jc w:val="both"/>
      </w:pPr>
      <w:r>
        <w:rPr>
          <w:rFonts w:ascii="Calibri" w:cs="Calibri" w:eastAsia="Calibri" w:hAnsi="Calibri"/>
          <w:sz w:val="21"/>
          <w:szCs w:val="21"/>
        </w:rPr>
        <w:t xml:space="preserve">2</w:t>
      </w:r>
      <w:r>
        <w:rPr>
          <w:rFonts w:ascii="Calibri" w:cs="Calibri" w:eastAsia="Calibri" w:hAnsi="Calibri"/>
          <w:sz w:val="21"/>
          <w:szCs w:val="21"/>
        </w:rPr>
        <w:t xml:space="preserve">	</w:t>
      </w:r>
      <w:r>
        <w:rPr>
          <w:rFonts w:ascii="Calibri" w:cs="Calibri" w:eastAsia="Calibri" w:hAnsi="Calibri"/>
          <w:b/>
          <w:bCs/>
          <w:sz w:val="21"/>
          <w:szCs w:val="21"/>
        </w:rPr>
        <w:t xml:space="preserve">Tax Warranty 4.1 (enquiries, audits and investigations).  </w:t>
      </w:r>
      <w:r>
        <w:rPr>
          <w:rFonts w:ascii="Calibri" w:cs="Calibri" w:eastAsia="Calibri" w:hAnsi="Calibri"/>
          <w:sz w:val="21"/>
          <w:szCs w:val="21"/>
        </w:rPr>
        <w:t xml:space="preserve">The Company was the subject of a routine employer compliance review (covering Pay As You Earn and National Insurance contributions) carried out by HM Revenue &amp; Customs in respect of the tax years 2021/22 and 2022/23. The review concluded by letter from HM Revenue &amp; Customs dated 14 February 2024 with no additional liability to Tax and no adjustment required. This matter is disclosed for completeness; it was a routine review and not a non-routine enquiry, audit, investigation, assessment or determination (Bundle ref 9.5).</w:t>
      </w:r>
    </w:p>
    <w:p>
      <w:pPr>
        <w:tabs>
          <w:tab w:val="left" w:pos="620"/>
        </w:tabs>
        <w:spacing w:after="130"/>
        <w:ind w:left="620" w:hanging="620"/>
        <w:jc w:val="both"/>
      </w:pPr>
      <w:r>
        <w:rPr>
          <w:rFonts w:ascii="Calibri" w:cs="Calibri" w:eastAsia="Calibri" w:hAnsi="Calibri"/>
          <w:sz w:val="21"/>
          <w:szCs w:val="21"/>
        </w:rPr>
        <w:t xml:space="preserve">3</w:t>
      </w:r>
      <w:r>
        <w:rPr>
          <w:rFonts w:ascii="Calibri" w:cs="Calibri" w:eastAsia="Calibri" w:hAnsi="Calibri"/>
          <w:sz w:val="21"/>
          <w:szCs w:val="21"/>
        </w:rPr>
        <w:t xml:space="preserve">	</w:t>
      </w:r>
      <w:r>
        <w:rPr>
          <w:rFonts w:ascii="Calibri" w:cs="Calibri" w:eastAsia="Calibri" w:hAnsi="Calibri"/>
          <w:b/>
          <w:bCs/>
          <w:sz w:val="21"/>
          <w:szCs w:val="21"/>
        </w:rPr>
        <w:t xml:space="preserve">Tax Warranty 5.2 (off-payroll working and the status of drivers).  </w:t>
      </w:r>
      <w:r>
        <w:rPr>
          <w:rFonts w:ascii="Calibri" w:cs="Calibri" w:eastAsia="Calibri" w:hAnsi="Calibri"/>
          <w:sz w:val="21"/>
          <w:szCs w:val="21"/>
        </w:rPr>
        <w:t xml:space="preserve">The Company engages approximately 40 self-employed owner-driver couriers on a contract-for-services basis, as referred to in paragraph 1 of Schedule 4. The Company commissioned an external review of the employment status of those arrangements from its professional advisers in 2023; that review concluded that the arrangements were consistent with self-employment, and the Company retains the determinations produced using the HMRC Check Employment Status for Tax tool. The owner-driver couriers contract directly with the Company and not through intermediary companies, and accordingly the off-payroll working rules in Chapter 10 of Part 2 of the Income Tax (Earnings and Pensions) Act 2003 are not engaged. This matter is disclosed for completeness, the Sellers and the Purchaser each being aware that the employment status of couriers is an area of general regulatory attention in the logistics sector (Bundle ref 9.7).</w:t>
      </w:r>
    </w:p>
    <w:p>
      <w:pPr>
        <w:tabs>
          <w:tab w:val="left" w:pos="620"/>
        </w:tabs>
        <w:spacing w:after="130"/>
        <w:ind w:left="620" w:hanging="620"/>
        <w:jc w:val="both"/>
      </w:pPr>
      <w:r>
        <w:rPr>
          <w:rFonts w:ascii="Calibri" w:cs="Calibri" w:eastAsia="Calibri" w:hAnsi="Calibri"/>
          <w:sz w:val="21"/>
          <w:szCs w:val="21"/>
        </w:rPr>
        <w:t xml:space="preserve">4</w:t>
      </w:r>
      <w:r>
        <w:rPr>
          <w:rFonts w:ascii="Calibri" w:cs="Calibri" w:eastAsia="Calibri" w:hAnsi="Calibri"/>
          <w:sz w:val="21"/>
          <w:szCs w:val="21"/>
        </w:rPr>
        <w:t xml:space="preserve">	</w:t>
      </w:r>
      <w:r>
        <w:rPr>
          <w:rFonts w:ascii="Calibri" w:cs="Calibri" w:eastAsia="Calibri" w:hAnsi="Calibri"/>
          <w:b/>
          <w:bCs/>
          <w:sz w:val="21"/>
          <w:szCs w:val="21"/>
        </w:rPr>
        <w:t xml:space="preserve">Tax Warranties 3.1 and 7.1 (reliefs and the Locked Box Accounts).  </w:t>
      </w:r>
      <w:r>
        <w:rPr>
          <w:rFonts w:ascii="Calibri" w:cs="Calibri" w:eastAsia="Calibri" w:hAnsi="Calibri"/>
          <w:sz w:val="21"/>
          <w:szCs w:val="21"/>
        </w:rPr>
        <w:t xml:space="preserve">The Company has claimed research and development tax relief in respect of qualifying expenditure on the development of its Relay routing, despatch and customer-notification platform for each of the accounting periods ended 31 December 2021, 31 December 2022 and 31 December 2023. Each claim was prepared by the Company’s auditors, Calderwood Brandt LLP, and submitted with the corporation tax return for the relevant period. The relief claimed has been reflected in the Accounts and the Locked Box Accounts, and constitutes an Accounts Relief for the purposes of Schedule 4 (Tax Covenant) to the Agreement (Bundle ref 9.8).</w:t>
      </w:r>
    </w:p>
    <w:p>
      <w:pPr>
        <w:tabs>
          <w:tab w:val="left" w:pos="620"/>
        </w:tabs>
        <w:spacing w:after="130"/>
        <w:ind w:left="620" w:hanging="620"/>
        <w:jc w:val="both"/>
      </w:pPr>
      <w:r>
        <w:rPr>
          <w:rFonts w:ascii="Calibri" w:cs="Calibri" w:eastAsia="Calibri" w:hAnsi="Calibri"/>
          <w:sz w:val="21"/>
          <w:szCs w:val="21"/>
        </w:rPr>
        <w:t xml:space="preserve">5</w:t>
      </w:r>
      <w:r>
        <w:rPr>
          <w:rFonts w:ascii="Calibri" w:cs="Calibri" w:eastAsia="Calibri" w:hAnsi="Calibri"/>
          <w:sz w:val="21"/>
          <w:szCs w:val="21"/>
        </w:rPr>
        <w:t xml:space="preserve">	</w:t>
      </w:r>
      <w:r>
        <w:rPr>
          <w:rFonts w:ascii="Calibri" w:cs="Calibri" w:eastAsia="Calibri" w:hAnsi="Calibri"/>
          <w:b/>
          <w:bCs/>
          <w:sz w:val="21"/>
          <w:szCs w:val="21"/>
        </w:rPr>
        <w:t xml:space="preserve">Tax Warranty 8.1 (stamp taxes).  </w:t>
      </w:r>
      <w:r>
        <w:rPr>
          <w:rFonts w:ascii="Calibri" w:cs="Calibri" w:eastAsia="Calibri" w:hAnsi="Calibri"/>
          <w:sz w:val="21"/>
          <w:szCs w:val="21"/>
        </w:rPr>
        <w:t xml:space="preserve">Stamp duty land tax was payable, and was duly paid, and the related land transaction return was duly filed, in respect of the grant to the Company of the lease of the Pinfold Lane, Leeds depot in 2022. All documents in the possession or control of the Company which attract stamp duty or stamp duty land tax have been duly stamped (Bundle ref 9.9).</w:t>
      </w:r>
    </w:p>
    <w:p>
      <w:pPr>
        <w:spacing w:after="150" w:before="360"/>
        <w:jc w:val="both"/>
      </w:pPr>
      <w:r>
        <w:rPr>
          <w:rFonts w:ascii="Calibri" w:cs="Calibri" w:eastAsia="Calibri" w:hAnsi="Calibri"/>
          <w:sz w:val="21"/>
          <w:szCs w:val="21"/>
        </w:rPr>
        <w:t xml:space="preserve">This Disclosure Letter is given by the Sellers, and is delivered to and accepted by the Purchaser, on the date stated at the head of it.</w:t>
      </w:r>
    </w:p>
    <w:p>
      <w:pPr>
        <w:spacing w:after="130"/>
        <w:jc w:val="both"/>
      </w:pPr>
      <w:r>
        <w:rPr>
          <w:rFonts w:ascii="Calibri" w:cs="Calibri" w:eastAsia="Calibri" w:hAnsi="Calibri"/>
          <w:b/>
          <w:bCs/>
          <w:sz w:val="21"/>
          <w:szCs w:val="21"/>
        </w:rPr>
        <w:t xml:space="preserve">Yours faithfully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t>
      </w:r>
    </w:p>
    <w:p>
      <w:pPr>
        <w:spacing w:after="130"/>
        <w:jc w:val="both"/>
      </w:pPr>
      <w:r>
        <w:rPr>
          <w:rFonts w:ascii="Calibri" w:cs="Calibri" w:eastAsia="Calibri" w:hAnsi="Calibri"/>
          <w:sz w:val="21"/>
          <w:szCs w:val="21"/>
        </w:rPr>
        <w:t xml:space="preserve">Marcus Reardon</w:t>
      </w:r>
    </w:p>
    <w:p>
      <w:pPr>
        <w:spacing w:after="130"/>
        <w:jc w:val="both"/>
      </w:pPr>
      <w:r>
        <w:rPr>
          <w:rFonts w:ascii="Calibri" w:cs="Calibri" w:eastAsia="Calibri" w:hAnsi="Calibri"/>
          <w:i/>
          <w:iCs/>
          <w:sz w:val="21"/>
          <w:szCs w:val="21"/>
        </w:rPr>
        <w:t xml:space="preserve">for and on behalf of himself as a Seller</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t>
      </w:r>
    </w:p>
    <w:p>
      <w:pPr>
        <w:spacing w:after="130"/>
        <w:jc w:val="both"/>
      </w:pPr>
      <w:r>
        <w:rPr>
          <w:rFonts w:ascii="Calibri" w:cs="Calibri" w:eastAsia="Calibri" w:hAnsi="Calibri"/>
          <w:sz w:val="21"/>
          <w:szCs w:val="21"/>
        </w:rPr>
        <w:t xml:space="preserve">Lucy Brennan</w:t>
      </w:r>
    </w:p>
    <w:p>
      <w:pPr>
        <w:spacing w:after="130"/>
        <w:jc w:val="both"/>
      </w:pPr>
      <w:r>
        <w:rPr>
          <w:rFonts w:ascii="Calibri" w:cs="Calibri" w:eastAsia="Calibri" w:hAnsi="Calibri"/>
          <w:i/>
          <w:iCs/>
          <w:sz w:val="21"/>
          <w:szCs w:val="21"/>
        </w:rPr>
        <w:t xml:space="preserve">for and on behalf of herself as a Seller</w:t>
      </w:r>
    </w:p>
    <w:p>
      <w:pPr>
        <w:spacing w:after="150" w:before="240"/>
        <w:jc w:val="both"/>
      </w:pPr>
      <w:r>
        <w:rPr>
          <w:rFonts w:ascii="Calibri" w:cs="Calibri" w:eastAsia="Calibri" w:hAnsi="Calibri"/>
          <w:b/>
          <w:bCs/>
          <w:sz w:val="21"/>
          <w:szCs w:val="21"/>
        </w:rPr>
        <w:t xml:space="preserve">Acknowledgement of receipt</w:t>
      </w:r>
    </w:p>
    <w:p>
      <w:pPr>
        <w:spacing w:after="130"/>
        <w:jc w:val="both"/>
      </w:pPr>
      <w:r>
        <w:rPr>
          <w:rFonts w:ascii="Calibri" w:cs="Calibri" w:eastAsia="Calibri" w:hAnsi="Calibri"/>
          <w:sz w:val="21"/>
          <w:szCs w:val="21"/>
        </w:rPr>
        <w:t xml:space="preserve">We, Bracken Group Holdings Limited, acknowledge receipt of this Disclosure Letter and of the Disclosure Bundle referred to in it, and accept the disclosures made in it for the purposes of the Agreement.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t>
      </w:r>
    </w:p>
    <w:p>
      <w:pPr>
        <w:spacing w:after="130"/>
        <w:jc w:val="both"/>
      </w:pPr>
      <w:r>
        <w:rPr>
          <w:rFonts w:ascii="Calibri" w:cs="Calibri" w:eastAsia="Calibri" w:hAnsi="Calibri"/>
          <w:sz w:val="21"/>
          <w:szCs w:val="21"/>
        </w:rPr>
        <w:t xml:space="preserve">Signed for and on behalf of BRACKEN GROUP HOLDINGS LIMITED</w:t>
      </w:r>
    </w:p>
    <w:p>
      <w:pPr>
        <w:spacing w:after="130"/>
        <w:jc w:val="both"/>
      </w:pPr>
      <w:r>
        <w:rPr>
          <w:rFonts w:ascii="Calibri" w:cs="Calibri" w:eastAsia="Calibri" w:hAnsi="Calibri"/>
          <w:sz w:val="21"/>
          <w:szCs w:val="21"/>
        </w:rPr>
        <w:t xml:space="preserve">Richard Calloway — Director, duly authorised</w:t>
      </w:r>
    </w:p>
    <w:p>
      <w:pPr>
        <w:spacing w:after="130"/>
        <w:jc w:val="both"/>
      </w:pPr>
      <w:r>
        <w:rPr>
          <w:rFonts w:ascii="Calibri" w:cs="Calibri" w:eastAsia="Calibri" w:hAnsi="Calibri"/>
          <w:sz w:val="21"/>
          <w:szCs w:val="21"/>
        </w:rPr>
        <w:t xml:space="preserve">Date: 8 November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666666"/>
        <w:sz w:val="15"/>
        <w:szCs w:val="15"/>
      </w:rPr>
      <w:t xml:space="preserve">Hargrove &amp; Associates LLP  |  Ref RH/HLX/0058  |  Disclosure Letter – Helix Logistics</w:t>
    </w:r>
    <w:r>
      <w:rPr>
        <w:rFonts w:ascii="Calibri" w:cs="Calibri" w:eastAsia="Calibri" w:hAnsi="Calibri"/>
        <w:sz w:val="15"/>
        <w:szCs w:val="15"/>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2026-05-21T14:07:51.490Z</dcterms:created>
  <dcterms:modified xsi:type="dcterms:W3CDTF">2026-05-21T14:07:51.490Z</dcterms:modified>
</cp:coreProperties>
</file>

<file path=docProps/custom.xml><?xml version="1.0" encoding="utf-8"?>
<Properties xmlns="http://schemas.openxmlformats.org/officeDocument/2006/custom-properties" xmlns:vt="http://schemas.openxmlformats.org/officeDocument/2006/docPropsVTypes"/>
</file>