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6"/>
          <w:szCs w:val="26"/>
        </w:rPr>
        <w:t xml:space="preserve">BRACKEN GROUP HOLDINGS LIMITED</w:t>
      </w:r>
    </w:p>
    <w:p>
      <w:pPr>
        <w:spacing w:after="60"/>
        <w:jc w:val="center"/>
      </w:pPr>
      <w:r>
        <w:rPr>
          <w:color w:val="444444"/>
          <w:sz w:val="16"/>
          <w:szCs w:val="16"/>
        </w:rPr>
        <w:t xml:space="preserve">20 Berkeley Square  ·  London W1J 6EQ  ·  Registered in England and Wales No. 08247193</w:t>
      </w:r>
    </w:p>
    <w:p>
      <w:pPr>
        <w:pBdr>
          <w:bottom w:val="single" w:color="000000" w:sz="6" w:space="2"/>
        </w:pBdr>
        <w:spacing w:after="160"/>
      </w:pPr>
    </w:p>
    <w:p>
      <w:pPr>
        <w:spacing w:after="24" w:before="0"/>
      </w:pPr>
      <w:r>
        <w:rPr>
          <w:b/>
          <w:bCs/>
          <w:i w:val="false"/>
          <w:iCs w:val="false"/>
        </w:rPr>
        <w:t xml:space="preserve">STRICTLY PRIVATE AND CONFIDENTIAL</w:t>
      </w:r>
    </w:p>
    <w:p>
      <w:pPr>
        <w:spacing w:after="200" w:before="0"/>
      </w:pPr>
      <w:r>
        <w:rPr>
          <w:b/>
          <w:bCs/>
          <w:i w:val="false"/>
          <w:iCs w:val="false"/>
        </w:rPr>
        <w:t xml:space="preserve">SUBJECT TO CONTRACT</w:t>
      </w:r>
    </w:p>
    <w:p>
      <w:pPr>
        <w:spacing w:after="200" w:before="0"/>
      </w:pPr>
      <w:r>
        <w:rPr>
          <w:b w:val="false"/>
          <w:bCs w:val="false"/>
          <w:i w:val="false"/>
          <w:iCs w:val="false"/>
        </w:rPr>
        <w:t xml:space="preserve">9 September 2024</w:t>
      </w:r>
    </w:p>
    <w:p>
      <w:pPr>
        <w:spacing w:after="24" w:before="0"/>
      </w:pPr>
      <w:r>
        <w:rPr>
          <w:b w:val="false"/>
          <w:bCs w:val="false"/>
          <w:i w:val="false"/>
          <w:iCs w:val="false"/>
        </w:rPr>
        <w:t xml:space="preserve">The Shareholders of Helix Logistics Ltd</w:t>
      </w:r>
    </w:p>
    <w:p>
      <w:pPr>
        <w:spacing w:after="24" w:before="0"/>
      </w:pPr>
      <w:r>
        <w:rPr>
          <w:b w:val="false"/>
          <w:bCs w:val="false"/>
          <w:i w:val="false"/>
          <w:iCs w:val="false"/>
        </w:rPr>
        <w:t xml:space="preserve">c/o Helix Logistics Ltd</w:t>
      </w:r>
    </w:p>
    <w:p>
      <w:pPr>
        <w:spacing w:after="24" w:before="0"/>
      </w:pPr>
      <w:r>
        <w:rPr>
          <w:b w:val="false"/>
          <w:bCs w:val="false"/>
          <w:i w:val="false"/>
          <w:iCs w:val="false"/>
        </w:rPr>
        <w:t xml:space="preserve">Helix House</w:t>
      </w:r>
    </w:p>
    <w:p>
      <w:pPr>
        <w:spacing w:after="24" w:before="0"/>
      </w:pPr>
      <w:r>
        <w:rPr>
          <w:b w:val="false"/>
          <w:bCs w:val="false"/>
          <w:i w:val="false"/>
          <w:iCs w:val="false"/>
        </w:rPr>
        <w:t xml:space="preserve">Wellington Road</w:t>
      </w:r>
    </w:p>
    <w:p>
      <w:pPr>
        <w:spacing w:after="24" w:before="0"/>
      </w:pPr>
      <w:r>
        <w:rPr>
          <w:b w:val="false"/>
          <w:bCs w:val="false"/>
          <w:i w:val="false"/>
          <w:iCs w:val="false"/>
        </w:rPr>
        <w:t xml:space="preserve">Trafford Park</w:t>
      </w:r>
    </w:p>
    <w:p>
      <w:pPr>
        <w:spacing w:after="160" w:before="0"/>
      </w:pPr>
      <w:r>
        <w:rPr>
          <w:b w:val="false"/>
          <w:bCs w:val="false"/>
          <w:i w:val="false"/>
          <w:iCs w:val="false"/>
        </w:rPr>
        <w:t xml:space="preserve">Manchester M17 1RA</w:t>
      </w:r>
    </w:p>
    <w:p>
      <w:pPr>
        <w:spacing w:after="200" w:before="0"/>
      </w:pPr>
      <w:r>
        <w:rPr>
          <w:b w:val="false"/>
          <w:bCs w:val="false"/>
          <w:i w:val="false"/>
          <w:iCs w:val="false"/>
        </w:rPr>
        <w:t xml:space="preserve">For the attention of Mr Marcus Reardon</w:t>
      </w:r>
    </w:p>
    <w:p>
      <w:pPr>
        <w:spacing w:after="200" w:before="0"/>
        <w:jc w:val="left"/>
      </w:pPr>
      <w:r>
        <w:rPr>
          <w:b w:val="false"/>
          <w:bCs w:val="false"/>
          <w:i w:val="false"/>
          <w:iCs w:val="false"/>
        </w:rPr>
        <w:t xml:space="preserve">Dear Sirs</w:t>
      </w:r>
    </w:p>
    <w:p>
      <w:pPr>
        <w:spacing w:after="160"/>
        <w:jc w:val="both"/>
      </w:pPr>
      <w:r>
        <w:rPr>
          <w:b/>
          <w:bCs/>
        </w:rPr>
        <w:t xml:space="preserve">PROJECT RELAY – PROPOSED ACQUISITION OF THE ENTIRE ISSUED SHARE CAPITAL OF HELIX LOGISTICS LTD</w:t>
      </w:r>
    </w:p>
    <w:p>
      <w:pPr>
        <w:spacing w:after="90" w:before="0"/>
        <w:jc w:val="both"/>
      </w:pPr>
      <w:r>
        <w:rPr>
          <w:b w:val="false"/>
          <w:bCs w:val="false"/>
          <w:i w:val="false"/>
          <w:iCs w:val="false"/>
        </w:rPr>
        <w:t xml:space="preserve">We refer to recent discussions regarding the possible acquisition by </w:t>
      </w:r>
      <w:r>
        <w:rPr>
          <w:b/>
          <w:bCs/>
          <w:i w:val="false"/>
          <w:iCs w:val="false"/>
        </w:rPr>
        <w:t xml:space="preserve">Bracken Group Holdings Limited</w:t>
      </w:r>
      <w:r>
        <w:rPr>
          <w:b w:val="false"/>
          <w:bCs w:val="false"/>
          <w:i w:val="false"/>
          <w:iCs w:val="false"/>
        </w:rPr>
        <w:t xml:space="preserve"> (registered number 08247193) (</w:t>
      </w:r>
      <w:r>
        <w:rPr>
          <w:b/>
          <w:bCs/>
          <w:i w:val="false"/>
          <w:iCs w:val="false"/>
        </w:rPr>
        <w:t xml:space="preserve">Bracken</w:t>
      </w:r>
      <w:r>
        <w:rPr>
          <w:b w:val="false"/>
          <w:bCs w:val="false"/>
          <w:i w:val="false"/>
          <w:iCs w:val="false"/>
        </w:rPr>
        <w:t xml:space="preserve"> or the </w:t>
      </w:r>
      <w:r>
        <w:rPr>
          <w:b/>
          <w:bCs/>
          <w:i w:val="false"/>
          <w:iCs w:val="false"/>
        </w:rPr>
        <w:t xml:space="preserve">Purchaser</w:t>
      </w:r>
      <w:r>
        <w:rPr>
          <w:b w:val="false"/>
          <w:bCs w:val="false"/>
          <w:i w:val="false"/>
          <w:iCs w:val="false"/>
        </w:rPr>
        <w:t xml:space="preserve">) of the entire issued share capital of </w:t>
      </w:r>
      <w:r>
        <w:rPr>
          <w:b/>
          <w:bCs/>
          <w:i w:val="false"/>
          <w:iCs w:val="false"/>
        </w:rPr>
        <w:t xml:space="preserve">Helix Logistics Ltd</w:t>
      </w:r>
      <w:r>
        <w:rPr>
          <w:b w:val="false"/>
          <w:bCs w:val="false"/>
          <w:i w:val="false"/>
          <w:iCs w:val="false"/>
        </w:rPr>
        <w:t xml:space="preserve"> (registered number 10211984) (the </w:t>
      </w:r>
      <w:r>
        <w:rPr>
          <w:b/>
          <w:bCs/>
          <w:i w:val="false"/>
          <w:iCs w:val="false"/>
        </w:rPr>
        <w:t xml:space="preserve">Company</w:t>
      </w:r>
      <w:r>
        <w:rPr>
          <w:b w:val="false"/>
          <w:bCs w:val="false"/>
          <w:i w:val="false"/>
          <w:iCs w:val="false"/>
        </w:rPr>
        <w:t xml:space="preserve">) from the persons holding that share capital (together, the </w:t>
      </w:r>
      <w:r>
        <w:rPr>
          <w:b/>
          <w:bCs/>
          <w:i w:val="false"/>
          <w:iCs w:val="false"/>
        </w:rPr>
        <w:t xml:space="preserve">Sellers</w:t>
      </w:r>
      <w:r>
        <w:rPr>
          <w:b w:val="false"/>
          <w:bCs w:val="false"/>
          <w:i w:val="false"/>
          <w:iCs w:val="false"/>
        </w:rPr>
        <w:t xml:space="preserve">). Bracken, the Sellers and the Company are together referred to in this letter as the </w:t>
      </w:r>
      <w:r>
        <w:rPr>
          <w:b/>
          <w:bCs/>
          <w:i w:val="false"/>
          <w:iCs w:val="false"/>
        </w:rPr>
        <w:t xml:space="preserve">Parties</w:t>
      </w:r>
      <w:r>
        <w:rPr>
          <w:b w:val="false"/>
          <w:bCs w:val="false"/>
          <w:i w:val="false"/>
          <w:iCs w:val="false"/>
        </w:rPr>
        <w:t xml:space="preserve"> and each as a </w:t>
      </w:r>
      <w:r>
        <w:rPr>
          <w:b/>
          <w:bCs/>
          <w:i w:val="false"/>
          <w:iCs w:val="false"/>
        </w:rPr>
        <w:t xml:space="preserve">Party</w:t>
      </w:r>
      <w:r>
        <w:rPr>
          <w:b w:val="false"/>
          <w:bCs w:val="false"/>
          <w:i w:val="false"/>
          <w:iCs w:val="false"/>
        </w:rPr>
        <w:t xml:space="preserve">. The proposed acquisition is referred to in this letter as the </w:t>
      </w:r>
      <w:r>
        <w:rPr>
          <w:b/>
          <w:bCs/>
          <w:i w:val="false"/>
          <w:iCs w:val="false"/>
        </w:rPr>
        <w:t xml:space="preserve">Proposed Transaction</w:t>
      </w:r>
      <w:r>
        <w:rPr>
          <w:b w:val="false"/>
          <w:bCs w:val="false"/>
          <w:i w:val="false"/>
          <w:iCs w:val="false"/>
        </w:rPr>
        <w:t xml:space="preserve">.</w:t>
      </w:r>
    </w:p>
    <w:p>
      <w:pPr>
        <w:spacing w:after="90" w:before="0"/>
        <w:jc w:val="both"/>
      </w:pPr>
      <w:r>
        <w:rPr>
          <w:b w:val="false"/>
          <w:bCs w:val="false"/>
          <w:i w:val="false"/>
          <w:iCs w:val="false"/>
        </w:rPr>
        <w:t xml:space="preserve">This letter of intent (this </w:t>
      </w:r>
      <w:r>
        <w:rPr>
          <w:b/>
          <w:bCs/>
          <w:i w:val="false"/>
          <w:iCs w:val="false"/>
        </w:rPr>
        <w:t xml:space="preserve">Letter</w:t>
      </w:r>
      <w:r>
        <w:rPr>
          <w:b w:val="false"/>
          <w:bCs w:val="false"/>
          <w:i w:val="false"/>
          <w:iCs w:val="false"/>
        </w:rPr>
        <w:t xml:space="preserve">) sets out the principal terms on which Bracken would be prepared to proceed with the Proposed Transaction. Save as expressly stated in paragraph 12, this Letter is not intended to be, and is not, legally binding, and is provided on a “subject to contract” basis. It supersedes any earlier indicative or non-binding terms exchanged between the Parties in relation to the Proposed Transaction.</w:t>
      </w:r>
    </w:p>
    <w:p>
      <w:pPr>
        <w:keepNext/>
        <w:tabs>
          <w:tab w:val="left" w:pos="600"/>
        </w:tabs>
        <w:spacing w:after="54" w:before="130"/>
        <w:ind w:left="600" w:hanging="600"/>
      </w:pPr>
      <w:r>
        <w:rPr>
          <w:b/>
          <w:bCs/>
        </w:rPr>
        <w:t xml:space="preserve">1</w:t>
      </w:r>
      <w:r>
        <w:t xml:space="preserve">	</w:t>
      </w:r>
      <w:r>
        <w:rPr>
          <w:b/>
          <w:bCs/>
        </w:rPr>
        <w:t xml:space="preserve">THE PROPOSED TRANSACTION</w:t>
      </w:r>
    </w:p>
    <w:p>
      <w:pPr>
        <w:tabs>
          <w:tab w:val="left" w:pos="600"/>
        </w:tabs>
        <w:spacing w:after="52" w:before="0"/>
        <w:ind w:left="600" w:hanging="600"/>
        <w:jc w:val="both"/>
      </w:pPr>
      <w:r>
        <w:t xml:space="preserve">1.1</w:t>
      </w:r>
      <w:r>
        <w:t xml:space="preserve">	</w:t>
      </w:r>
      <w:r>
        <w:rPr>
          <w:b w:val="false"/>
          <w:bCs w:val="false"/>
          <w:i w:val="false"/>
          <w:iCs w:val="false"/>
        </w:rPr>
        <w:t xml:space="preserve">Bracken proposes to acquire the entire issued share capital of the Company (the </w:t>
      </w:r>
      <w:r>
        <w:rPr>
          <w:b/>
          <w:bCs/>
          <w:i w:val="false"/>
          <w:iCs w:val="false"/>
        </w:rPr>
        <w:t xml:space="preserve">Shares</w:t>
      </w:r>
      <w:r>
        <w:rPr>
          <w:b w:val="false"/>
          <w:bCs w:val="false"/>
          <w:i w:val="false"/>
          <w:iCs w:val="false"/>
        </w:rPr>
        <w:t xml:space="preserve">) from the Sellers. The Proposed Transaction would be structured as a purchase of the Shares, and not as a purchase of the business or assets of the Company.</w:t>
      </w:r>
    </w:p>
    <w:p>
      <w:pPr>
        <w:tabs>
          <w:tab w:val="left" w:pos="600"/>
        </w:tabs>
        <w:spacing w:after="52" w:before="0"/>
        <w:ind w:left="600" w:hanging="600"/>
        <w:jc w:val="both"/>
      </w:pPr>
      <w:r>
        <w:t xml:space="preserve">1.2</w:t>
      </w:r>
      <w:r>
        <w:t xml:space="preserve">	</w:t>
      </w:r>
      <w:r>
        <w:rPr>
          <w:b w:val="false"/>
          <w:bCs w:val="false"/>
          <w:i w:val="false"/>
          <w:iCs w:val="false"/>
        </w:rPr>
        <w:t xml:space="preserve">Bracken may elect to effect the Proposed Transaction through a wholly-owned subsidiary or acquisition vehicle, in which case references in this Letter to the Purchaser are to be read as references to that vehicle, with Bracken procuring the performance of its obligations.</w:t>
      </w:r>
    </w:p>
    <w:p>
      <w:pPr>
        <w:keepNext/>
        <w:tabs>
          <w:tab w:val="left" w:pos="600"/>
        </w:tabs>
        <w:spacing w:after="54" w:before="130"/>
        <w:ind w:left="600" w:hanging="600"/>
      </w:pPr>
      <w:r>
        <w:rPr>
          <w:b/>
          <w:bCs/>
        </w:rPr>
        <w:t xml:space="preserve">2</w:t>
      </w:r>
      <w:r>
        <w:t xml:space="preserve">	</w:t>
      </w:r>
      <w:r>
        <w:rPr>
          <w:b/>
          <w:bCs/>
        </w:rPr>
        <w:t xml:space="preserve">CONSIDERATION</w:t>
      </w:r>
    </w:p>
    <w:p>
      <w:pPr>
        <w:tabs>
          <w:tab w:val="left" w:pos="600"/>
        </w:tabs>
        <w:spacing w:after="52" w:before="0"/>
        <w:ind w:left="600" w:hanging="600"/>
        <w:jc w:val="both"/>
      </w:pPr>
      <w:r>
        <w:t xml:space="preserve">2.1</w:t>
      </w:r>
      <w:r>
        <w:t xml:space="preserve">	</w:t>
      </w:r>
      <w:r>
        <w:rPr>
          <w:b w:val="false"/>
          <w:bCs w:val="false"/>
          <w:i w:val="false"/>
          <w:iCs w:val="false"/>
        </w:rPr>
        <w:t xml:space="preserve">Bracken proposes a total enterprise value for the Company of </w:t>
      </w:r>
      <w:r>
        <w:rPr>
          <w:b/>
          <w:bCs/>
          <w:i w:val="false"/>
          <w:iCs w:val="false"/>
        </w:rPr>
        <w:t xml:space="preserve">£38,000,000</w:t>
      </w:r>
      <w:r>
        <w:rPr>
          <w:b w:val="false"/>
          <w:bCs w:val="false"/>
          <w:i w:val="false"/>
          <w:iCs w:val="false"/>
        </w:rPr>
        <w:t xml:space="preserve"> (thirty-eight million pounds) (the </w:t>
      </w:r>
      <w:r>
        <w:rPr>
          <w:b/>
          <w:bCs/>
          <w:i w:val="false"/>
          <w:iCs w:val="false"/>
        </w:rPr>
        <w:t xml:space="preserve">Headline Price</w:t>
      </w:r>
      <w:r>
        <w:rPr>
          <w:b w:val="false"/>
          <w:bCs w:val="false"/>
          <w:i w:val="false"/>
          <w:iCs w:val="false"/>
        </w:rPr>
        <w:t xml:space="preserve">), on the basis that the Company is acquired on a cash-free, debt-free basis and assuming that the Company has, at completion, a normalised level of working capital.</w:t>
      </w:r>
    </w:p>
    <w:p>
      <w:pPr>
        <w:tabs>
          <w:tab w:val="left" w:pos="600"/>
        </w:tabs>
        <w:spacing w:after="52" w:before="0"/>
        <w:ind w:left="600" w:hanging="600"/>
        <w:jc w:val="both"/>
      </w:pPr>
      <w:r>
        <w:t xml:space="preserve">2.2</w:t>
      </w:r>
      <w:r>
        <w:t xml:space="preserve">	</w:t>
      </w:r>
      <w:r>
        <w:rPr>
          <w:b w:val="false"/>
          <w:bCs w:val="false"/>
          <w:i w:val="false"/>
          <w:iCs w:val="false"/>
        </w:rPr>
        <w:t xml:space="preserve">The consideration payable to the Sellers for the Shares would be derived from the Headline Price by adding the aggregate amount of cash and cash equivalents held by the Company, deducting the aggregate amount of all financial indebtedness and debt-like items of the Company, and adjusting for the amount (if any) by which the Company’s actual working capital at completion differs from the agreed normalised (target) level of working capital, in each case as at completion and as determined in accordance with the definitive agreement.</w:t>
      </w:r>
    </w:p>
    <w:p>
      <w:pPr>
        <w:tabs>
          <w:tab w:val="left" w:pos="600"/>
        </w:tabs>
        <w:spacing w:after="52" w:before="0"/>
        <w:ind w:left="600" w:hanging="600"/>
        <w:jc w:val="both"/>
      </w:pPr>
      <w:r>
        <w:t xml:space="preserve">2.3</w:t>
      </w:r>
      <w:r>
        <w:t xml:space="preserve">	</w:t>
      </w:r>
      <w:r>
        <w:rPr>
          <w:b w:val="false"/>
          <w:bCs w:val="false"/>
          <w:i w:val="false"/>
          <w:iCs w:val="false"/>
        </w:rPr>
        <w:t xml:space="preserve">The normalised level of working capital is to be agreed between the Parties during the due diligence period by reference to the average monthly working capital of the Company over the twelve-month period ending on the last month-end before the date of the definitive agreement. The Parties acknowledge that the definitive agreement may instead provide for a “locked box” consideration mechanism, with a fixed equity price determined by reference to an agreed locked box accounts date together with customary protections against leakage, if the Parties so agree during the negotiation of the definitive agreement.</w:t>
      </w:r>
    </w:p>
    <w:p>
      <w:pPr>
        <w:tabs>
          <w:tab w:val="left" w:pos="600"/>
        </w:tabs>
        <w:spacing w:after="52" w:before="0"/>
        <w:ind w:left="600" w:hanging="600"/>
        <w:jc w:val="both"/>
      </w:pPr>
      <w:r>
        <w:t xml:space="preserve">2.4</w:t>
      </w:r>
      <w:r>
        <w:t xml:space="preserve">	</w:t>
      </w:r>
      <w:r>
        <w:rPr>
          <w:b w:val="false"/>
          <w:bCs w:val="false"/>
          <w:i w:val="false"/>
          <w:iCs w:val="false"/>
        </w:rPr>
        <w:t xml:space="preserve">The consideration would be payable in cash on completion, save that the definitive agreement is expected to provide for a proportion of the consideration (anticipated to be approximately 10 per cent.) to be retained in escrow for a period following completion as security for warranty, tax and indemnity claims against the Sellers.</w:t>
      </w:r>
    </w:p>
    <w:p>
      <w:pPr>
        <w:tabs>
          <w:tab w:val="left" w:pos="600"/>
        </w:tabs>
        <w:spacing w:after="52" w:before="0"/>
        <w:ind w:left="600" w:hanging="600"/>
        <w:jc w:val="both"/>
      </w:pPr>
      <w:r>
        <w:t xml:space="preserve">2.5</w:t>
      </w:r>
      <w:r>
        <w:t xml:space="preserve">	</w:t>
      </w:r>
      <w:r>
        <w:rPr>
          <w:b w:val="false"/>
          <w:bCs w:val="false"/>
          <w:i w:val="false"/>
          <w:iCs w:val="false"/>
        </w:rPr>
        <w:t xml:space="preserve">The Parties may agree that warranty and indemnity insurance is put in place in respect of the Sellers’ warranties under the definitive agreement, with the scope, limit and allocation of the premium to be agreed between the Parties as part of the negotiation of the definitive documentation.</w:t>
      </w:r>
    </w:p>
    <w:p>
      <w:pPr>
        <w:keepNext/>
        <w:tabs>
          <w:tab w:val="left" w:pos="600"/>
        </w:tabs>
        <w:spacing w:after="54" w:before="130"/>
        <w:ind w:left="600" w:hanging="600"/>
      </w:pPr>
      <w:r>
        <w:rPr>
          <w:b/>
          <w:bCs/>
        </w:rPr>
        <w:t xml:space="preserve">3</w:t>
      </w:r>
      <w:r>
        <w:t xml:space="preserve">	</w:t>
      </w:r>
      <w:r>
        <w:rPr>
          <w:b/>
          <w:bCs/>
        </w:rPr>
        <w:t xml:space="preserve">FUNDING</w:t>
      </w:r>
    </w:p>
    <w:p>
      <w:pPr>
        <w:tabs>
          <w:tab w:val="left" w:pos="600"/>
        </w:tabs>
        <w:spacing w:after="52" w:before="0"/>
        <w:ind w:left="600" w:hanging="600"/>
        <w:jc w:val="both"/>
      </w:pPr>
      <w:r>
        <w:t xml:space="preserve">3.1</w:t>
      </w:r>
      <w:r>
        <w:t xml:space="preserve">	</w:t>
      </w:r>
      <w:r>
        <w:rPr>
          <w:b w:val="false"/>
          <w:bCs w:val="false"/>
          <w:i w:val="false"/>
          <w:iCs w:val="false"/>
        </w:rPr>
        <w:t xml:space="preserve">Bracken intends to fund the consideration from a combination of equity funding from funds managed or advised by Bracken and/or its Affiliates and third-party debt financing. Bracken is confident of its ability to finance the Proposed Transaction, but completion would be conditional on confirmation of committed debt financing on terms satisfactory to Bracken.</w:t>
      </w:r>
    </w:p>
    <w:p>
      <w:pPr>
        <w:keepNext/>
        <w:tabs>
          <w:tab w:val="left" w:pos="600"/>
        </w:tabs>
        <w:spacing w:after="54" w:before="130"/>
        <w:ind w:left="600" w:hanging="600"/>
      </w:pPr>
      <w:r>
        <w:rPr>
          <w:b/>
          <w:bCs/>
        </w:rPr>
        <w:t xml:space="preserve">4</w:t>
      </w:r>
      <w:r>
        <w:t xml:space="preserve">	</w:t>
      </w:r>
      <w:r>
        <w:rPr>
          <w:b/>
          <w:bCs/>
        </w:rPr>
        <w:t xml:space="preserve">CONDITIONS</w:t>
      </w:r>
    </w:p>
    <w:p>
      <w:pPr>
        <w:tabs>
          <w:tab w:val="left" w:pos="600"/>
        </w:tabs>
        <w:spacing w:after="52" w:before="0"/>
        <w:ind w:left="600" w:hanging="600"/>
        <w:jc w:val="both"/>
      </w:pPr>
      <w:r>
        <w:t xml:space="preserve">4.1</w:t>
      </w:r>
      <w:r>
        <w:t xml:space="preserve">	</w:t>
      </w:r>
      <w:r>
        <w:rPr>
          <w:b w:val="false"/>
          <w:bCs w:val="false"/>
          <w:i w:val="false"/>
          <w:iCs w:val="false"/>
        </w:rPr>
        <w:t xml:space="preserve">The Proposed Transaction, and Bracken’s willingness to proceed to exchange of a definitive agreement, would be subject to the following matters, each to Bracken’s satisfaction:</w:t>
      </w:r>
    </w:p>
    <w:p>
      <w:pPr>
        <w:tabs>
          <w:tab w:val="left" w:pos="1200"/>
        </w:tabs>
        <w:spacing w:after="52" w:before="0"/>
        <w:ind w:left="1200" w:hanging="600"/>
        <w:jc w:val="both"/>
      </w:pPr>
      <w:r>
        <w:t xml:space="preserve">(a)</w:t>
      </w:r>
      <w:r>
        <w:t xml:space="preserve">	</w:t>
      </w:r>
      <w:r>
        <w:rPr>
          <w:b w:val="false"/>
          <w:bCs w:val="false"/>
          <w:i w:val="false"/>
          <w:iCs w:val="false"/>
        </w:rPr>
        <w:t xml:space="preserve">satisfactory completion of legal, financial, tax, commercial and operational due diligence on the Company and its business;</w:t>
      </w:r>
    </w:p>
    <w:p>
      <w:pPr>
        <w:tabs>
          <w:tab w:val="left" w:pos="1200"/>
        </w:tabs>
        <w:spacing w:after="52" w:before="0"/>
        <w:ind w:left="1200" w:hanging="600"/>
        <w:jc w:val="both"/>
      </w:pPr>
      <w:r>
        <w:t xml:space="preserve">(b)</w:t>
      </w:r>
      <w:r>
        <w:t xml:space="preserve">	</w:t>
      </w:r>
      <w:r>
        <w:rPr>
          <w:b w:val="false"/>
          <w:bCs w:val="false"/>
          <w:i w:val="false"/>
          <w:iCs w:val="false"/>
        </w:rPr>
        <w:t xml:space="preserve">confirmation of committed debt financing for the Proposed Transaction on terms satisfactory to Bracken;</w:t>
      </w:r>
    </w:p>
    <w:p>
      <w:pPr>
        <w:tabs>
          <w:tab w:val="left" w:pos="1200"/>
        </w:tabs>
        <w:spacing w:after="52" w:before="0"/>
        <w:ind w:left="1200" w:hanging="600"/>
        <w:jc w:val="both"/>
      </w:pPr>
      <w:r>
        <w:t xml:space="preserve">(c)</w:t>
      </w:r>
      <w:r>
        <w:t xml:space="preserve">	</w:t>
      </w:r>
      <w:r>
        <w:rPr>
          <w:b w:val="false"/>
          <w:bCs w:val="false"/>
          <w:i w:val="false"/>
          <w:iCs w:val="false"/>
        </w:rPr>
        <w:t xml:space="preserve">the agreement and entry into of retention and lock-in arrangements with Mr Marcus Reardon, Ms Lucy Brennan and such other members of the Company’s senior management team as the Purchaser may identify (together, the </w:t>
      </w:r>
      <w:r>
        <w:rPr>
          <w:b/>
          <w:bCs/>
          <w:i w:val="false"/>
          <w:iCs w:val="false"/>
        </w:rPr>
        <w:t xml:space="preserve">Key Employees</w:t>
      </w:r>
      <w:r>
        <w:rPr>
          <w:b w:val="false"/>
          <w:bCs w:val="false"/>
          <w:i w:val="false"/>
          <w:iCs w:val="false"/>
        </w:rPr>
        <w:t xml:space="preserve">);</w:t>
      </w:r>
    </w:p>
    <w:p>
      <w:pPr>
        <w:tabs>
          <w:tab w:val="left" w:pos="1200"/>
        </w:tabs>
        <w:spacing w:after="52" w:before="0"/>
        <w:ind w:left="1200" w:hanging="600"/>
        <w:jc w:val="both"/>
      </w:pPr>
      <w:r>
        <w:t xml:space="preserve">(d)</w:t>
      </w:r>
      <w:r>
        <w:t xml:space="preserve">	</w:t>
      </w:r>
      <w:r>
        <w:rPr>
          <w:b w:val="false"/>
          <w:bCs w:val="false"/>
          <w:i w:val="false"/>
          <w:iCs w:val="false"/>
        </w:rPr>
        <w:t xml:space="preserve">the negotiation and execution of a definitive share purchase agreement and associated documentation (including a tax covenant, disclosure letter, escrow agreement and the Key Employees’ arrangements) in form and substance satisfactory to the Parties;</w:t>
      </w:r>
    </w:p>
    <w:p>
      <w:pPr>
        <w:tabs>
          <w:tab w:val="left" w:pos="1200"/>
        </w:tabs>
        <w:spacing w:after="52" w:before="0"/>
        <w:ind w:left="1200" w:hanging="600"/>
        <w:jc w:val="both"/>
      </w:pPr>
      <w:r>
        <w:t xml:space="preserve">(e)</w:t>
      </w:r>
      <w:r>
        <w:t xml:space="preserve">	</w:t>
      </w:r>
      <w:r>
        <w:rPr>
          <w:b w:val="false"/>
          <w:bCs w:val="false"/>
          <w:i w:val="false"/>
          <w:iCs w:val="false"/>
        </w:rPr>
        <w:t xml:space="preserve">the approval of the Proposed Transaction by the investment committee and board of directors of Bracken;</w:t>
      </w:r>
    </w:p>
    <w:p>
      <w:pPr>
        <w:tabs>
          <w:tab w:val="left" w:pos="1200"/>
        </w:tabs>
        <w:spacing w:after="52" w:before="0"/>
        <w:ind w:left="1200" w:hanging="600"/>
        <w:jc w:val="both"/>
      </w:pPr>
      <w:r>
        <w:t xml:space="preserve">(f)</w:t>
      </w:r>
      <w:r>
        <w:t xml:space="preserve">	</w:t>
      </w:r>
      <w:r>
        <w:rPr>
          <w:b w:val="false"/>
          <w:bCs w:val="false"/>
          <w:i w:val="false"/>
          <w:iCs w:val="false"/>
        </w:rPr>
        <w:t xml:space="preserve">no material adverse change occurring in the business, assets, financial or trading position or prospects of the Company between the date of this Letter and completion; and</w:t>
      </w:r>
    </w:p>
    <w:p>
      <w:pPr>
        <w:tabs>
          <w:tab w:val="left" w:pos="1200"/>
        </w:tabs>
        <w:spacing w:after="52" w:before="0"/>
        <w:ind w:left="1200" w:hanging="600"/>
        <w:jc w:val="both"/>
      </w:pPr>
      <w:r>
        <w:t xml:space="preserve">(g)</w:t>
      </w:r>
      <w:r>
        <w:t xml:space="preserve">	</w:t>
      </w:r>
      <w:r>
        <w:rPr>
          <w:b w:val="false"/>
          <w:bCs w:val="false"/>
          <w:i w:val="false"/>
          <w:iCs w:val="false"/>
        </w:rPr>
        <w:t xml:space="preserve">the receipt of any third-party consents and regulatory clearances required in connection with the Proposed Transaction.</w:t>
      </w:r>
    </w:p>
    <w:p>
      <w:pPr>
        <w:keepNext/>
        <w:tabs>
          <w:tab w:val="left" w:pos="600"/>
        </w:tabs>
        <w:spacing w:after="54" w:before="130"/>
        <w:ind w:left="600" w:hanging="600"/>
      </w:pPr>
      <w:r>
        <w:rPr>
          <w:b/>
          <w:bCs/>
        </w:rPr>
        <w:t xml:space="preserve">5</w:t>
      </w:r>
      <w:r>
        <w:t xml:space="preserve">	</w:t>
      </w:r>
      <w:r>
        <w:rPr>
          <w:b/>
          <w:bCs/>
        </w:rPr>
        <w:t xml:space="preserve">DUE DILIGENCE</w:t>
      </w:r>
    </w:p>
    <w:p>
      <w:pPr>
        <w:tabs>
          <w:tab w:val="left" w:pos="600"/>
        </w:tabs>
        <w:spacing w:after="52" w:before="0"/>
        <w:ind w:left="600" w:hanging="600"/>
        <w:jc w:val="both"/>
      </w:pPr>
      <w:r>
        <w:t xml:space="preserve">5.1</w:t>
      </w:r>
      <w:r>
        <w:t xml:space="preserve">	</w:t>
      </w:r>
      <w:r>
        <w:rPr>
          <w:b w:val="false"/>
          <w:bCs w:val="false"/>
          <w:i w:val="false"/>
          <w:iCs w:val="false"/>
        </w:rPr>
        <w:t xml:space="preserve">The Sellers will, and will procure that the Company will, promptly following the date of this Letter provide Bracken and its Representatives with reasonable access, during normal business hours, to the books, records, contracts, premises, management and advisers of the Company for the purposes of due diligence, including by way of an electronic data room.</w:t>
      </w:r>
    </w:p>
    <w:p>
      <w:pPr>
        <w:tabs>
          <w:tab w:val="left" w:pos="600"/>
        </w:tabs>
        <w:spacing w:after="52" w:before="0"/>
        <w:ind w:left="600" w:hanging="600"/>
        <w:jc w:val="both"/>
      </w:pPr>
      <w:r>
        <w:t xml:space="preserve">5.2</w:t>
      </w:r>
      <w:r>
        <w:t xml:space="preserve">	</w:t>
      </w:r>
      <w:r>
        <w:rPr>
          <w:b w:val="false"/>
          <w:bCs w:val="false"/>
          <w:i w:val="false"/>
          <w:iCs w:val="false"/>
        </w:rPr>
        <w:t xml:space="preserve">Bracken anticipates that its due diligence can be substantially completed within approximately four (4) weeks of access being granted.</w:t>
      </w:r>
    </w:p>
    <w:p>
      <w:pPr>
        <w:keepNext/>
        <w:tabs>
          <w:tab w:val="left" w:pos="600"/>
        </w:tabs>
        <w:spacing w:after="54" w:before="130"/>
        <w:ind w:left="600" w:hanging="600"/>
      </w:pPr>
      <w:r>
        <w:rPr>
          <w:b/>
          <w:bCs/>
        </w:rPr>
        <w:t xml:space="preserve">6</w:t>
      </w:r>
      <w:r>
        <w:t xml:space="preserve">	</w:t>
      </w:r>
      <w:r>
        <w:rPr>
          <w:b/>
          <w:bCs/>
        </w:rPr>
        <w:t xml:space="preserve">INDICATIVE TIMETABLE</w:t>
      </w:r>
    </w:p>
    <w:p>
      <w:pPr>
        <w:tabs>
          <w:tab w:val="left" w:pos="600"/>
        </w:tabs>
        <w:spacing w:after="52" w:before="0"/>
        <w:ind w:left="600" w:hanging="600"/>
        <w:jc w:val="both"/>
      </w:pPr>
      <w:r>
        <w:t xml:space="preserve">6.1</w:t>
      </w:r>
      <w:r>
        <w:t xml:space="preserve">	</w:t>
      </w:r>
      <w:r>
        <w:rPr>
          <w:b w:val="false"/>
          <w:bCs w:val="false"/>
          <w:i w:val="false"/>
          <w:iCs w:val="false"/>
        </w:rPr>
        <w:t xml:space="preserve">The Parties will use their respective reasonable endeavours to progress the Proposed Transaction with a view to exchange and completion of the definitive agreement on or before the expiry of the Exclusivity Period (as defined in paragraph 8). The indicative timetable is: (a) due diligence and negotiation of the definitive agreement during September and October 2024; and (b) exchange and completion targeted for early November 2024.</w:t>
      </w:r>
    </w:p>
    <w:p>
      <w:pPr>
        <w:keepNext/>
        <w:tabs>
          <w:tab w:val="left" w:pos="600"/>
        </w:tabs>
        <w:spacing w:after="54" w:before="130"/>
        <w:ind w:left="600" w:hanging="600"/>
      </w:pPr>
      <w:r>
        <w:rPr>
          <w:b/>
          <w:bCs/>
        </w:rPr>
        <w:t xml:space="preserve">7</w:t>
      </w:r>
      <w:r>
        <w:t xml:space="preserve">	</w:t>
      </w:r>
      <w:r>
        <w:rPr>
          <w:b/>
          <w:bCs/>
        </w:rPr>
        <w:t xml:space="preserve">CONDUCT OF BUSINESS</w:t>
      </w:r>
    </w:p>
    <w:p>
      <w:pPr>
        <w:tabs>
          <w:tab w:val="left" w:pos="600"/>
        </w:tabs>
        <w:spacing w:after="52" w:before="0"/>
        <w:ind w:left="600" w:hanging="600"/>
        <w:jc w:val="both"/>
      </w:pPr>
      <w:r>
        <w:t xml:space="preserve">7.1</w:t>
      </w:r>
      <w:r>
        <w:t xml:space="preserve">	</w:t>
      </w:r>
      <w:r>
        <w:rPr>
          <w:b w:val="false"/>
          <w:bCs w:val="false"/>
          <w:i w:val="false"/>
          <w:iCs w:val="false"/>
        </w:rPr>
        <w:t xml:space="preserve">Pending completion or the termination of discussions, the Sellers will procure that the Company carries on its business in the ordinary and usual course and does not, without Bracken’s prior written consent, undertake any material transaction outside the ordinary course of business, declare or pay any dividend or other distribution, or make any material change to the terms of employment of any Key Employee.</w:t>
      </w:r>
    </w:p>
    <w:p>
      <w:pPr>
        <w:keepNext/>
        <w:tabs>
          <w:tab w:val="left" w:pos="600"/>
        </w:tabs>
        <w:spacing w:after="54" w:before="130"/>
        <w:ind w:left="600" w:hanging="600"/>
      </w:pPr>
      <w:r>
        <w:rPr>
          <w:b/>
          <w:bCs/>
        </w:rPr>
        <w:t xml:space="preserve">8</w:t>
      </w:r>
      <w:r>
        <w:t xml:space="preserve">	</w:t>
      </w:r>
      <w:r>
        <w:rPr>
          <w:b/>
          <w:bCs/>
        </w:rPr>
        <w:t xml:space="preserve">EXCLUSIVITY</w:t>
      </w:r>
    </w:p>
    <w:p>
      <w:pPr>
        <w:tabs>
          <w:tab w:val="left" w:pos="600"/>
        </w:tabs>
        <w:spacing w:after="52" w:before="0"/>
        <w:ind w:left="600" w:hanging="600"/>
        <w:jc w:val="both"/>
      </w:pPr>
      <w:r>
        <w:t xml:space="preserve">8.1</w:t>
      </w:r>
      <w:r>
        <w:t xml:space="preserve">	</w:t>
      </w:r>
      <w:r>
        <w:rPr>
          <w:b w:val="false"/>
          <w:bCs w:val="false"/>
          <w:i w:val="false"/>
          <w:iCs w:val="false"/>
        </w:rPr>
        <w:t xml:space="preserve">In consideration of Bracken agreeing to incur the costs of investigating and pursuing the Proposed Transaction, each of the Sellers and the Company agrees that, for the period of sixty (60) days from the date of countersignature of this Letter (the </w:t>
      </w:r>
      <w:r>
        <w:rPr>
          <w:b/>
          <w:bCs/>
          <w:i w:val="false"/>
          <w:iCs w:val="false"/>
        </w:rPr>
        <w:t xml:space="preserve">Exclusivity Period</w:t>
      </w:r>
      <w:r>
        <w:rPr>
          <w:b w:val="false"/>
          <w:bCs w:val="false"/>
          <w:i w:val="false"/>
          <w:iCs w:val="false"/>
        </w:rPr>
        <w:t xml:space="preserve">), neither it nor any of its Representatives will, directly or indirectly:</w:t>
      </w:r>
    </w:p>
    <w:p>
      <w:pPr>
        <w:tabs>
          <w:tab w:val="left" w:pos="1200"/>
        </w:tabs>
        <w:spacing w:after="52" w:before="0"/>
        <w:ind w:left="1200" w:hanging="600"/>
        <w:jc w:val="both"/>
      </w:pPr>
      <w:r>
        <w:t xml:space="preserve">(a)</w:t>
      </w:r>
      <w:r>
        <w:t xml:space="preserve">	</w:t>
      </w:r>
      <w:r>
        <w:rPr>
          <w:b w:val="false"/>
          <w:bCs w:val="false"/>
          <w:i w:val="false"/>
          <w:iCs w:val="false"/>
        </w:rPr>
        <w:t xml:space="preserve">solicit, initiate, encourage, or enter into or continue any negotiations or discussions with any person (other than Bracken and its Representatives) in relation to;</w:t>
      </w:r>
    </w:p>
    <w:p>
      <w:pPr>
        <w:tabs>
          <w:tab w:val="left" w:pos="1200"/>
        </w:tabs>
        <w:spacing w:after="52" w:before="0"/>
        <w:ind w:left="1200" w:hanging="600"/>
        <w:jc w:val="both"/>
      </w:pPr>
      <w:r>
        <w:t xml:space="preserve">(b)</w:t>
      </w:r>
      <w:r>
        <w:t xml:space="preserve">	</w:t>
      </w:r>
      <w:r>
        <w:rPr>
          <w:b w:val="false"/>
          <w:bCs w:val="false"/>
          <w:i w:val="false"/>
          <w:iCs w:val="false"/>
        </w:rPr>
        <w:t xml:space="preserve">provide any information to, or otherwise assist or facilitate, any person (other than Bracken and its Representatives) in connection with; or</w:t>
      </w:r>
    </w:p>
    <w:p>
      <w:pPr>
        <w:tabs>
          <w:tab w:val="left" w:pos="1200"/>
        </w:tabs>
        <w:spacing w:after="52" w:before="0"/>
        <w:ind w:left="1200" w:hanging="600"/>
        <w:jc w:val="both"/>
      </w:pPr>
      <w:r>
        <w:t xml:space="preserve">(c)</w:t>
      </w:r>
      <w:r>
        <w:t xml:space="preserve">	</w:t>
      </w:r>
      <w:r>
        <w:rPr>
          <w:b w:val="false"/>
          <w:bCs w:val="false"/>
          <w:i w:val="false"/>
          <w:iCs w:val="false"/>
        </w:rPr>
        <w:t xml:space="preserve">enter into any agreement, arrangement or understanding with any person (other than Bracken and its Representatives) in relation to,</w:t>
      </w:r>
    </w:p>
    <w:p>
      <w:pPr>
        <w:spacing w:after="90" w:before="0"/>
        <w:ind w:left="1200"/>
        <w:jc w:val="both"/>
      </w:pPr>
      <w:r>
        <w:rPr>
          <w:b w:val="false"/>
          <w:bCs w:val="false"/>
          <w:i w:val="false"/>
          <w:iCs w:val="false"/>
        </w:rPr>
        <w:t xml:space="preserve">any sale, transfer or issue of any shares or securities of the Company, any sale of all or a material part of the business or assets of the Company, or any merger, recapitalisation or other transaction that would be inconsistent with or frustrate the Proposed Transaction (each, an </w:t>
      </w:r>
      <w:r>
        <w:rPr>
          <w:b/>
          <w:bCs/>
          <w:i w:val="false"/>
          <w:iCs w:val="false"/>
        </w:rPr>
        <w:t xml:space="preserve">Alternative Transaction</w:t>
      </w:r>
      <w:r>
        <w:rPr>
          <w:b w:val="false"/>
          <w:bCs w:val="false"/>
          <w:i w:val="false"/>
          <w:iCs w:val="false"/>
        </w:rPr>
        <w:t xml:space="preserve">).</w:t>
      </w:r>
    </w:p>
    <w:p>
      <w:pPr>
        <w:tabs>
          <w:tab w:val="left" w:pos="600"/>
        </w:tabs>
        <w:spacing w:after="52" w:before="0"/>
        <w:ind w:left="600" w:hanging="600"/>
        <w:jc w:val="both"/>
      </w:pPr>
      <w:r>
        <w:t xml:space="preserve">8.2</w:t>
      </w:r>
      <w:r>
        <w:t xml:space="preserve">	</w:t>
      </w:r>
      <w:r>
        <w:rPr>
          <w:b w:val="false"/>
          <w:bCs w:val="false"/>
          <w:i w:val="false"/>
          <w:iCs w:val="false"/>
        </w:rPr>
        <w:t xml:space="preserve">The Sellers will, and will procure that the Company will, promptly notify Bracken in writing if any of them receives any approach, offer, indication of interest or enquiry from any person in relation to an Alternative Transaction during the Exclusivity Period.</w:t>
      </w:r>
    </w:p>
    <w:p>
      <w:pPr>
        <w:tabs>
          <w:tab w:val="left" w:pos="600"/>
        </w:tabs>
        <w:spacing w:after="52" w:before="0"/>
        <w:ind w:left="600" w:hanging="600"/>
        <w:jc w:val="both"/>
      </w:pPr>
      <w:r>
        <w:t xml:space="preserve">8.3</w:t>
      </w:r>
      <w:r>
        <w:t xml:space="preserve">	</w:t>
      </w:r>
      <w:r>
        <w:rPr>
          <w:b w:val="false"/>
          <w:bCs w:val="false"/>
          <w:i w:val="false"/>
          <w:iCs w:val="false"/>
        </w:rPr>
        <w:t xml:space="preserve">This paragraph 8 is intended to create legally binding obligations on the Parties.</w:t>
      </w:r>
    </w:p>
    <w:p>
      <w:pPr>
        <w:keepNext/>
        <w:tabs>
          <w:tab w:val="left" w:pos="600"/>
        </w:tabs>
        <w:spacing w:after="54" w:before="130"/>
        <w:ind w:left="600" w:hanging="600"/>
      </w:pPr>
      <w:r>
        <w:rPr>
          <w:b/>
          <w:bCs/>
        </w:rPr>
        <w:t xml:space="preserve">9</w:t>
      </w:r>
      <w:r>
        <w:t xml:space="preserve">	</w:t>
      </w:r>
      <w:r>
        <w:rPr>
          <w:b/>
          <w:bCs/>
        </w:rPr>
        <w:t xml:space="preserve">COSTS</w:t>
      </w:r>
    </w:p>
    <w:p>
      <w:pPr>
        <w:tabs>
          <w:tab w:val="left" w:pos="600"/>
        </w:tabs>
        <w:spacing w:after="52" w:before="0"/>
        <w:ind w:left="600" w:hanging="600"/>
        <w:jc w:val="both"/>
      </w:pPr>
      <w:r>
        <w:t xml:space="preserve">9.1</w:t>
      </w:r>
      <w:r>
        <w:t xml:space="preserve">	</w:t>
      </w:r>
      <w:r>
        <w:rPr>
          <w:b w:val="false"/>
          <w:bCs w:val="false"/>
          <w:i w:val="false"/>
          <w:iCs w:val="false"/>
        </w:rPr>
        <w:t xml:space="preserve">Each Party will bear its own costs and expenses incurred in connection with the Proposed Transaction and the negotiation, preparation and implementation of this Letter and the definitive agreement, whether or not the Proposed Transaction proceeds to completion. This paragraph 9 is intended to create legally binding obligations on the Parties.</w:t>
      </w:r>
    </w:p>
    <w:p>
      <w:pPr>
        <w:keepNext/>
        <w:tabs>
          <w:tab w:val="left" w:pos="600"/>
        </w:tabs>
        <w:spacing w:after="54" w:before="130"/>
        <w:ind w:left="600" w:hanging="600"/>
      </w:pPr>
      <w:r>
        <w:rPr>
          <w:b/>
          <w:bCs/>
        </w:rPr>
        <w:t xml:space="preserve">10</w:t>
      </w:r>
      <w:r>
        <w:t xml:space="preserve">	</w:t>
      </w:r>
      <w:r>
        <w:rPr>
          <w:b/>
          <w:bCs/>
        </w:rPr>
        <w:t xml:space="preserve">CONFIDENTIALITY</w:t>
      </w:r>
    </w:p>
    <w:p>
      <w:pPr>
        <w:tabs>
          <w:tab w:val="left" w:pos="600"/>
        </w:tabs>
        <w:spacing w:after="52" w:before="0"/>
        <w:ind w:left="600" w:hanging="600"/>
        <w:jc w:val="both"/>
      </w:pPr>
      <w:r>
        <w:t xml:space="preserve">10.1</w:t>
      </w:r>
      <w:r>
        <w:t xml:space="preserve">	</w:t>
      </w:r>
      <w:r>
        <w:rPr>
          <w:b w:val="false"/>
          <w:bCs w:val="false"/>
          <w:i w:val="false"/>
          <w:iCs w:val="false"/>
        </w:rPr>
        <w:t xml:space="preserve">The existence and terms of this Letter, the Proposed Transaction and the discussions between the Parties are confidential and constitute Confidential Information for the purposes of the mutual non-disclosure agreement between Bracken and the Company dated 5 August 2024 (the </w:t>
      </w:r>
      <w:r>
        <w:rPr>
          <w:b/>
          <w:bCs/>
          <w:i w:val="false"/>
          <w:iCs w:val="false"/>
        </w:rPr>
        <w:t xml:space="preserve">NDA</w:t>
      </w:r>
      <w:r>
        <w:rPr>
          <w:b w:val="false"/>
          <w:bCs w:val="false"/>
          <w:i w:val="false"/>
          <w:iCs w:val="false"/>
        </w:rPr>
        <w:t xml:space="preserve">). The Parties’ obligations of confidentiality in respect of this Letter and the Proposed Transaction are governed by the NDA, which remains in full force and effect. This paragraph 10 is intended to create legally binding obligations on the Parties.</w:t>
      </w:r>
    </w:p>
    <w:p>
      <w:pPr>
        <w:keepNext/>
        <w:tabs>
          <w:tab w:val="left" w:pos="600"/>
        </w:tabs>
        <w:spacing w:after="54" w:before="130"/>
        <w:ind w:left="600" w:hanging="600"/>
      </w:pPr>
      <w:r>
        <w:rPr>
          <w:b/>
          <w:bCs/>
        </w:rPr>
        <w:t xml:space="preserve">11</w:t>
      </w:r>
      <w:r>
        <w:t xml:space="preserve">	</w:t>
      </w:r>
      <w:r>
        <w:rPr>
          <w:b/>
          <w:bCs/>
        </w:rPr>
        <w:t xml:space="preserve">ANNOUNCEMENTS</w:t>
      </w:r>
    </w:p>
    <w:p>
      <w:pPr>
        <w:tabs>
          <w:tab w:val="left" w:pos="600"/>
        </w:tabs>
        <w:spacing w:after="52" w:before="0"/>
        <w:ind w:left="600" w:hanging="600"/>
        <w:jc w:val="both"/>
      </w:pPr>
      <w:r>
        <w:t xml:space="preserve">11.1</w:t>
      </w:r>
      <w:r>
        <w:t xml:space="preserve">	</w:t>
      </w:r>
      <w:r>
        <w:rPr>
          <w:b w:val="false"/>
          <w:bCs w:val="false"/>
          <w:i w:val="false"/>
          <w:iCs w:val="false"/>
        </w:rPr>
        <w:t xml:space="preserve">No Party may make any announcement or public statement concerning this Letter or the Proposed Transaction without the prior written consent of the other Parties, except as required by law or regulation. This paragraph 11 is intended to create legally binding obligations on the Parties.</w:t>
      </w:r>
    </w:p>
    <w:p>
      <w:pPr>
        <w:keepNext/>
        <w:tabs>
          <w:tab w:val="left" w:pos="600"/>
        </w:tabs>
        <w:spacing w:after="54" w:before="130"/>
        <w:ind w:left="600" w:hanging="600"/>
      </w:pPr>
      <w:r>
        <w:rPr>
          <w:b/>
          <w:bCs/>
        </w:rPr>
        <w:t xml:space="preserve">12</w:t>
      </w:r>
      <w:r>
        <w:t xml:space="preserve">	</w:t>
      </w:r>
      <w:r>
        <w:rPr>
          <w:b/>
          <w:bCs/>
        </w:rPr>
        <w:t xml:space="preserve">STATUS OF THIS LETTER</w:t>
      </w:r>
    </w:p>
    <w:p>
      <w:pPr>
        <w:tabs>
          <w:tab w:val="left" w:pos="600"/>
        </w:tabs>
        <w:spacing w:after="52" w:before="0"/>
        <w:ind w:left="600" w:hanging="600"/>
        <w:jc w:val="both"/>
      </w:pPr>
      <w:r>
        <w:t xml:space="preserve">12.1</w:t>
      </w:r>
      <w:r>
        <w:t xml:space="preserve">	</w:t>
      </w:r>
      <w:r>
        <w:rPr>
          <w:b w:val="false"/>
          <w:bCs w:val="false"/>
          <w:i w:val="false"/>
          <w:iCs w:val="false"/>
        </w:rPr>
        <w:t xml:space="preserve">Except for paragraphs 8 (Exclusivity), 9 (Costs), 10 (Confidentiality), 11 (Announcements), this paragraph 12 and paragraph 13 (Governing Law and Jurisdiction), which are intended to create legally binding obligations, this Letter records the Parties’ current intentions only, is not intended to create any legally binding obligations, and is provided on a “subject to contract” basis.</w:t>
      </w:r>
    </w:p>
    <w:p>
      <w:pPr>
        <w:tabs>
          <w:tab w:val="left" w:pos="600"/>
        </w:tabs>
        <w:spacing w:after="52" w:before="0"/>
        <w:ind w:left="600" w:hanging="600"/>
        <w:jc w:val="both"/>
      </w:pPr>
      <w:r>
        <w:t xml:space="preserve">12.2</w:t>
      </w:r>
      <w:r>
        <w:t xml:space="preserve">	</w:t>
      </w:r>
      <w:r>
        <w:rPr>
          <w:b w:val="false"/>
          <w:bCs w:val="false"/>
          <w:i w:val="false"/>
          <w:iCs w:val="false"/>
        </w:rPr>
        <w:t xml:space="preserve">No Party is under any obligation to proceed with or complete the Proposed Transaction, to enter into a definitive agreement, or to continue negotiations, and any Party may terminate discussions at any time without liability to the other Parties (save in respect of the binding paragraphs identified in paragraph 12.1).</w:t>
      </w:r>
    </w:p>
    <w:p>
      <w:pPr>
        <w:tabs>
          <w:tab w:val="left" w:pos="600"/>
        </w:tabs>
        <w:spacing w:after="52" w:before="0"/>
        <w:ind w:left="600" w:hanging="600"/>
        <w:jc w:val="both"/>
      </w:pPr>
      <w:r>
        <w:t xml:space="preserve">12.3</w:t>
      </w:r>
      <w:r>
        <w:t xml:space="preserve">	</w:t>
      </w:r>
      <w:r>
        <w:rPr>
          <w:b w:val="false"/>
          <w:bCs w:val="false"/>
          <w:i w:val="false"/>
          <w:iCs w:val="false"/>
        </w:rPr>
        <w:t xml:space="preserve">No legally binding obligation in relation to the Proposed Transaction (other than under the binding paragraphs of this Letter and under the NDA) will arise unless and until a definitive written agreement has been executed and delivered by all relevant parties.</w:t>
      </w:r>
    </w:p>
    <w:p>
      <w:pPr>
        <w:keepNext/>
        <w:tabs>
          <w:tab w:val="left" w:pos="600"/>
        </w:tabs>
        <w:spacing w:after="54" w:before="130"/>
        <w:ind w:left="600" w:hanging="600"/>
      </w:pPr>
      <w:r>
        <w:rPr>
          <w:b/>
          <w:bCs/>
        </w:rPr>
        <w:t xml:space="preserve">13</w:t>
      </w:r>
      <w:r>
        <w:t xml:space="preserve">	</w:t>
      </w:r>
      <w:r>
        <w:rPr>
          <w:b/>
          <w:bCs/>
        </w:rPr>
        <w:t xml:space="preserve">GOVERNING LAW AND JURISDICTION</w:t>
      </w:r>
    </w:p>
    <w:p>
      <w:pPr>
        <w:tabs>
          <w:tab w:val="left" w:pos="600"/>
        </w:tabs>
        <w:spacing w:after="52" w:before="0"/>
        <w:ind w:left="600" w:hanging="600"/>
        <w:jc w:val="both"/>
      </w:pPr>
      <w:r>
        <w:t xml:space="preserve">13.1</w:t>
      </w:r>
      <w:r>
        <w:t xml:space="preserve">	</w:t>
      </w:r>
      <w:r>
        <w:rPr>
          <w:b w:val="false"/>
          <w:bCs w:val="false"/>
          <w:i w:val="false"/>
          <w:iCs w:val="false"/>
        </w:rPr>
        <w:t xml:space="preserve">This Letter, and any dispute or claim (including non-contractual disputes or claims) arising out of or in connection with it or its subject matter, are governed by, and construed in accordance with, the law of England and Wales, and the Parties irrevocably submit to the exclusive jurisdiction of the courts of England and Wales.</w:t>
      </w:r>
    </w:p>
    <w:p>
      <w:pPr>
        <w:spacing w:after="90" w:before="160"/>
        <w:jc w:val="both"/>
      </w:pPr>
      <w:r>
        <w:rPr>
          <w:b w:val="false"/>
          <w:bCs w:val="false"/>
          <w:i w:val="false"/>
          <w:iCs w:val="false"/>
        </w:rPr>
        <w:t xml:space="preserve">If the terms set out in this Letter are acceptable, please confirm your agreement – and, in particular, your agreement to the binding provisions identified in paragraph 12.1 – by signing and returning the enclosed copy of this Letter. The Exclusivity Period will commence on the date of countersignature.</w:t>
      </w:r>
    </w:p>
    <w:p>
      <w:pPr>
        <w:spacing w:after="90" w:before="0"/>
        <w:jc w:val="both"/>
      </w:pPr>
      <w:r>
        <w:rPr>
          <w:b w:val="false"/>
          <w:bCs w:val="false"/>
          <w:i w:val="false"/>
          <w:iCs w:val="false"/>
        </w:rPr>
        <w:t xml:space="preserve">We look forward to working with you towards a successful transaction.</w:t>
      </w:r>
    </w:p>
    <w:p>
      <w:pPr>
        <w:spacing w:after="160"/>
      </w:pPr>
    </w:p>
    <w:p>
      <w:pPr>
        <w:spacing w:after="24" w:before="0"/>
      </w:pPr>
      <w:r>
        <w:rPr>
          <w:b w:val="false"/>
          <w:bCs w:val="false"/>
          <w:i w:val="false"/>
          <w:iCs w:val="false"/>
        </w:rPr>
        <w:t xml:space="preserve">Yours faithfully</w:t>
      </w:r>
    </w:p>
    <w:p>
      <w:pPr>
        <w:spacing w:after="24" w:before="170"/>
      </w:pPr>
      <w:r>
        <w:t xml:space="preserve">..............................................</w:t>
      </w:r>
    </w:p>
    <w:p>
      <w:pPr>
        <w:spacing w:after="24" w:before="80"/>
      </w:pPr>
      <w:r>
        <w:rPr>
          <w:b w:val="false"/>
          <w:bCs w:val="false"/>
          <w:i w:val="false"/>
          <w:iCs w:val="false"/>
        </w:rPr>
        <w:t xml:space="preserve">Name:  Richard Calloway</w:t>
      </w:r>
    </w:p>
    <w:p>
      <w:pPr>
        <w:spacing w:after="24" w:before="0"/>
      </w:pPr>
      <w:r>
        <w:rPr>
          <w:b w:val="false"/>
          <w:bCs w:val="false"/>
          <w:i w:val="false"/>
          <w:iCs w:val="false"/>
        </w:rPr>
        <w:t xml:space="preserve">Title:  Director</w:t>
      </w:r>
    </w:p>
    <w:p>
      <w:pPr>
        <w:spacing w:after="24" w:before="0"/>
      </w:pPr>
      <w:r>
        <w:rPr>
          <w:b w:val="false"/>
          <w:bCs w:val="false"/>
          <w:i w:val="false"/>
          <w:iCs w:val="false"/>
        </w:rPr>
        <w:t xml:space="preserve">For and on behalf of </w:t>
      </w:r>
      <w:r>
        <w:rPr>
          <w:b/>
          <w:bCs/>
          <w:i w:val="false"/>
          <w:iCs w:val="false"/>
        </w:rPr>
        <w:t xml:space="preserve">BRACKEN GROUP HOLDINGS LIMITED</w:t>
      </w:r>
    </w:p>
    <w:p>
      <w:pPr>
        <w:spacing w:after="260"/>
      </w:pPr>
    </w:p>
    <w:p>
      <w:pPr>
        <w:pBdr>
          <w:bottom w:val="single" w:color="AAAAAA" w:sz="4" w:space="2"/>
        </w:pBdr>
        <w:spacing w:after="120"/>
      </w:pPr>
    </w:p>
    <w:p>
      <w:pPr>
        <w:spacing w:after="120" w:before="0"/>
      </w:pPr>
      <w:r>
        <w:rPr>
          <w:b/>
          <w:bCs/>
          <w:i w:val="false"/>
          <w:iCs w:val="false"/>
        </w:rPr>
        <w:t xml:space="preserve">ACKNOWLEDGED AND AGREED</w:t>
      </w:r>
    </w:p>
    <w:p>
      <w:pPr>
        <w:spacing w:after="90" w:before="0"/>
        <w:jc w:val="both"/>
      </w:pPr>
      <w:r>
        <w:rPr>
          <w:b w:val="false"/>
          <w:bCs w:val="false"/>
          <w:i w:val="false"/>
          <w:iCs w:val="false"/>
        </w:rPr>
        <w:t xml:space="preserve">We confirm our agreement to the terms of this Letter and, in particular, our agreement to be bound by the binding provisions identified in paragraph 12.1. The date of countersignature is the date stated below.</w:t>
      </w:r>
    </w:p>
    <w:p>
      <w:pPr>
        <w:spacing w:after="160"/>
      </w:pPr>
    </w:p>
    <w:p>
      <w:pPr>
        <w:spacing w:after="40" w:before="0"/>
      </w:pPr>
      <w:r>
        <w:rPr>
          <w:b w:val="false"/>
          <w:bCs w:val="false"/>
          <w:i w:val="false"/>
          <w:iCs w:val="false"/>
        </w:rPr>
        <w:t xml:space="preserve">Signed by the Sellers:</w:t>
      </w:r>
    </w:p>
    <w:p>
      <w:pPr>
        <w:spacing w:after="24" w:before="170"/>
      </w:pPr>
      <w:r>
        <w:t xml:space="preserve">..............................................</w:t>
      </w:r>
    </w:p>
    <w:p>
      <w:pPr>
        <w:spacing w:after="24" w:before="80"/>
      </w:pPr>
      <w:r>
        <w:rPr>
          <w:b w:val="false"/>
          <w:bCs w:val="false"/>
          <w:i w:val="false"/>
          <w:iCs w:val="false"/>
        </w:rPr>
        <w:t xml:space="preserve">Marcus Reardon</w:t>
      </w:r>
    </w:p>
    <w:p>
      <w:pPr>
        <w:spacing w:after="24" w:before="0"/>
      </w:pPr>
      <w:r>
        <w:rPr>
          <w:b w:val="false"/>
          <w:bCs w:val="false"/>
          <w:i w:val="false"/>
          <w:iCs w:val="false"/>
        </w:rPr>
        <w:t xml:space="preserve">Date:  9 September 2024</w:t>
      </w:r>
    </w:p>
    <w:p>
      <w:pPr>
        <w:spacing w:after="160"/>
      </w:pPr>
    </w:p>
    <w:p>
      <w:pPr>
        <w:spacing w:after="24" w:before="170"/>
      </w:pPr>
      <w:r>
        <w:t xml:space="preserve">..............................................</w:t>
      </w:r>
    </w:p>
    <w:p>
      <w:pPr>
        <w:spacing w:after="24" w:before="80"/>
      </w:pPr>
      <w:r>
        <w:rPr>
          <w:b w:val="false"/>
          <w:bCs w:val="false"/>
          <w:i w:val="false"/>
          <w:iCs w:val="false"/>
        </w:rPr>
        <w:t xml:space="preserve">Lucy Brennan</w:t>
      </w:r>
    </w:p>
    <w:p>
      <w:pPr>
        <w:spacing w:after="24" w:before="0"/>
      </w:pPr>
      <w:r>
        <w:rPr>
          <w:b w:val="false"/>
          <w:bCs w:val="false"/>
          <w:i w:val="false"/>
          <w:iCs w:val="false"/>
        </w:rPr>
        <w:t xml:space="preserve">Date:  9 September 2024</w:t>
      </w:r>
    </w:p>
    <w:p>
      <w:pPr>
        <w:spacing w:after="200"/>
      </w:pPr>
    </w:p>
    <w:p>
      <w:pPr>
        <w:spacing w:after="24" w:before="0"/>
      </w:pPr>
      <w:r>
        <w:rPr>
          <w:b/>
          <w:bCs/>
          <w:i w:val="false"/>
          <w:iCs w:val="false"/>
        </w:rPr>
        <w:t xml:space="preserve">SIGNED</w:t>
      </w:r>
      <w:r>
        <w:rPr>
          <w:b w:val="false"/>
          <w:bCs w:val="false"/>
          <w:i w:val="false"/>
          <w:iCs w:val="false"/>
        </w:rPr>
        <w:t xml:space="preserve"> for and on behalf of </w:t>
      </w:r>
      <w:r>
        <w:rPr>
          <w:b/>
          <w:bCs/>
          <w:i w:val="false"/>
          <w:iCs w:val="false"/>
        </w:rPr>
        <w:t xml:space="preserve">HELIX LOGISTICS LTD</w:t>
      </w:r>
    </w:p>
    <w:p>
      <w:pPr>
        <w:spacing w:after="24" w:before="170"/>
      </w:pPr>
      <w:r>
        <w:t xml:space="preserve">..............................................</w:t>
      </w:r>
    </w:p>
    <w:p>
      <w:pPr>
        <w:spacing w:after="24" w:before="0"/>
      </w:pPr>
      <w:r>
        <w:rPr>
          <w:b w:val="false"/>
          <w:bCs w:val="false"/>
          <w:i w:val="false"/>
          <w:iCs w:val="false"/>
        </w:rPr>
        <w:t xml:space="preserve">Signature</w:t>
      </w:r>
    </w:p>
    <w:p>
      <w:pPr>
        <w:spacing w:after="24" w:before="80"/>
      </w:pPr>
      <w:r>
        <w:rPr>
          <w:b w:val="false"/>
          <w:bCs w:val="false"/>
          <w:i w:val="false"/>
          <w:iCs w:val="false"/>
        </w:rPr>
        <w:t xml:space="preserve">Name:  Marcus Reardon</w:t>
      </w:r>
    </w:p>
    <w:p>
      <w:pPr>
        <w:spacing w:after="24" w:before="0"/>
      </w:pPr>
      <w:r>
        <w:rPr>
          <w:b w:val="false"/>
          <w:bCs w:val="false"/>
          <w:i w:val="false"/>
          <w:iCs w:val="false"/>
        </w:rPr>
        <w:t xml:space="preserve">Title:  Director</w:t>
      </w:r>
    </w:p>
    <w:p>
      <w:pPr>
        <w:spacing w:after="24" w:before="0"/>
      </w:pPr>
      <w:r>
        <w:rPr>
          <w:b w:val="false"/>
          <w:bCs w:val="false"/>
          <w:i w:val="false"/>
          <w:iCs w:val="false"/>
        </w:rPr>
        <w:t xml:space="preserve">Date:  9 September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444444"/>
        <w:sz w:val="15"/>
        <w:szCs w:val="15"/>
      </w:rPr>
      <w:t xml:space="preserve">Whitfield Carter LLP   |   Matter 52114-0001   |   Letter of Intent – Project Relay</w:t>
    </w:r>
    <w:r>
      <w:rPr>
        <w:sz w:val="15"/>
        <w:szCs w:val="15"/>
      </w:rPr>
      <w:t xml:space="preserve">	</w:t>
    </w:r>
    <w:r>
      <w:rPr>
        <w:color w:val="444444"/>
        <w:sz w:val="15"/>
        <w:szCs w:val="15"/>
      </w:rPr>
      <w:t xml:space="preserve">Page </w:t>
    </w:r>
    <w:r>
      <w:rPr>
        <w:color w:val="444444"/>
        <w:sz w:val="15"/>
        <w:szCs w:val="15"/>
      </w:rPr>
      <w:fldChar w:fldCharType="begin"/>
      <w:instrText xml:space="preserve">PAGE</w:instrText>
      <w:fldChar w:fldCharType="separate"/>
      <w:fldChar w:fldCharType="end"/>
    </w:r>
    <w:r>
      <w:rPr>
        <w:color w:val="444444"/>
        <w:sz w:val="15"/>
        <w:szCs w:val="15"/>
      </w:rPr>
      <w:t xml:space="preserve"> of </w:t>
    </w:r>
    <w:r>
      <w:rPr>
        <w:color w:val="44444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color w:val="444444"/>
        <w:spacing w:val="12"/>
        <w:sz w:val="15"/>
        <w:szCs w:val="15"/>
      </w:rPr>
      <w:t xml:space="preserve">STRICTLY PRIVATE &amp; CONFIDENTIAL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2026-05-21T12:39:28.025Z</dcterms:created>
  <dcterms:modified xsi:type="dcterms:W3CDTF">2026-05-21T12:39:28.025Z</dcterms:modified>
</cp:coreProperties>
</file>

<file path=docProps/custom.xml><?xml version="1.0" encoding="utf-8"?>
<Properties xmlns="http://schemas.openxmlformats.org/officeDocument/2006/custom-properties" xmlns:vt="http://schemas.openxmlformats.org/officeDocument/2006/docPropsVTypes"/>
</file>