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2"/>
          <w:szCs w:val="32"/>
        </w:rPr>
        <w:t xml:space="preserve">WHITFIELD CARTER LLP</w:t>
      </w:r>
    </w:p>
    <w:p>
      <w:pPr>
        <w:spacing w:after="0"/>
        <w:jc w:val="center"/>
      </w:pPr>
      <w:r>
        <w:rPr>
          <w:sz w:val="18"/>
          <w:szCs w:val="18"/>
        </w:rPr>
        <w:t xml:space="preserve">22 Bishopsgate, London EC2N 4BQ</w:t>
      </w:r>
    </w:p>
    <w:p>
      <w:pPr>
        <w:pBdr>
          <w:bottom w:val="single" w:color="1F3864" w:sz="6" w:space="6"/>
        </w:pBdr>
        <w:spacing w:after="200"/>
        <w:jc w:val="center"/>
      </w:pPr>
      <w:r>
        <w:rPr>
          <w:color w:val="666666"/>
          <w:sz w:val="16"/>
          <w:szCs w:val="16"/>
        </w:rPr>
        <w:t xml:space="preserve">T +44 (0)20 7946 0500   |   www.whitfieldcarter.com   |   DX 138 London</w:t>
      </w:r>
    </w:p>
    <w:p>
      <w:pPr>
        <w:spacing w:after="120" w:line="276"/>
        <w:jc w:val="both"/>
        <w:rPr>
          <w:b/>
          <w:bCs/>
        </w:rPr>
      </w:pPr>
      <w:r>
        <w:rPr>
          <w:b/>
          <w:bCs/>
        </w:rPr>
        <w:t xml:space="preserve">Denham Lewis LLP</w:t>
      </w:r>
    </w:p>
    <w:p>
      <w:pPr>
        <w:spacing w:after="120" w:line="276"/>
        <w:jc w:val="both"/>
      </w:pPr>
      <w:r>
        <w:t xml:space="preserve">Acting for the Sellers</w:t>
      </w:r>
    </w:p>
    <w:p>
      <w:pPr>
        <w:spacing w:after="120" w:line="276"/>
        <w:jc w:val="both"/>
      </w:pPr>
      <w:r>
        <w:t xml:space="preserve">[On behalf of the Sellers]</w:t>
      </w:r>
    </w:p>
    <w:p>
      <w:pPr>
        <w:spacing w:after="120" w:line="276"/>
        <w:jc w:val="both"/>
        <w:rPr>
          <w:b/>
          <w:bCs/>
        </w:rPr>
      </w:pPr>
      <w:r>
        <w:rPr>
          <w:b/>
          <w:bCs/>
        </w:rPr>
        <w:t xml:space="preserve">Date: [•] 2026</w:t>
      </w:r>
    </w:p>
    <w:p>
      <w:pPr>
        <w:spacing w:after="120" w:line="276"/>
        <w:jc w:val="both"/>
      </w:pPr>
      <w:r>
        <w:t xml:space="preserve">Dear Sirs</w:t>
      </w:r>
    </w:p>
    <w:p>
      <w:pPr>
        <w:spacing w:after="80"/>
        <w:jc w:val="center"/>
      </w:pPr>
      <w:r>
        <w:rPr>
          <w:b/>
          <w:bCs/>
          <w:sz w:val="30"/>
          <w:szCs w:val="30"/>
        </w:rPr>
        <w:t xml:space="preserve">DISCLOSURE LETTER</w:t>
      </w:r>
    </w:p>
    <w:p>
      <w:pPr>
        <w:spacing w:after="240"/>
        <w:jc w:val="center"/>
      </w:pPr>
      <w:r>
        <w:rPr>
          <w:i/>
          <w:iCs/>
          <w:sz w:val="22"/>
          <w:szCs w:val="22"/>
        </w:rPr>
        <w:t xml:space="preserve">Project Drake — Harwood Valve &amp; Controls Limited</w:t>
      </w:r>
    </w:p>
    <w:p>
      <w:pPr>
        <w:spacing w:after="120" w:line="276"/>
        <w:jc w:val="both"/>
      </w:pPr>
      <w:r>
        <w:t xml:space="preserve">This is the Disclosure Letter referred to in the share purchase agreement of even date (the “Agreement”) between (1) the Sellers and (2) Bracken Group plc relating to the entire issued share capital of Harwood Valve &amp; Controls Limited (the “Company”). Terms defined in the Agreement have the same meaning in this letter.</w:t>
      </w:r>
    </w:p>
    <w:p>
      <w:pPr>
        <w:pStyle w:val="Heading1"/>
      </w:pPr>
      <w:r>
        <w:t xml:space="preserve">1.   General</w:t>
      </w:r>
    </w:p>
    <w:p>
      <w:pPr>
        <w:spacing w:after="120" w:line="276"/>
        <w:jc w:val="both"/>
      </w:pPr>
      <w:r>
        <w:t xml:space="preserve">1.1   The Warranties are subject to, and qualified by, the matters disclosed in this letter and its Disclosure Bundle. No matter disclosed shall constitute a breach of any Warranty.</w:t>
      </w:r>
    </w:p>
    <w:p>
      <w:pPr>
        <w:spacing w:after="120" w:line="276"/>
        <w:jc w:val="both"/>
      </w:pPr>
      <w:r>
        <w:t xml:space="preserve">1.2   The disclosures are made against the Warranties generally and are not confined to the particular Warranty against which they appear.</w:t>
      </w:r>
    </w:p>
    <w:p>
      <w:pPr>
        <w:spacing w:after="120" w:line="276"/>
        <w:jc w:val="both"/>
      </w:pPr>
      <w:r>
        <w:t xml:space="preserve">1.3   The following are deemed disclosed: all matters appearing from the Company's filed accounts and statutory registers at Companies House; all matters appearing from official searches at HM Land Registry and the relevant local authorities; and the contents of the data room hosted by the Sellers' advisers, the index to which is annexed.</w:t>
      </w:r>
    </w:p>
    <w:p>
      <w:pPr>
        <w:pStyle w:val="Heading1"/>
      </w:pPr>
      <w:r>
        <w:t xml:space="preserve">2.   Specific disclosures</w:t>
      </w:r>
    </w:p>
    <w:p>
      <w:pPr>
        <w:spacing w:after="120" w:line="276"/>
        <w:jc w:val="both"/>
      </w:pPr>
      <w:r>
        <w:t xml:space="preserve">The following specific disclosures are made against the Warranties identified.</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200"/>
        <w:gridCol w:w="5826"/>
      </w:tblGrid>
      <w:tr>
        <w:trPr>
          <w:tblHeader/>
        </w:trPr>
        <w:tc>
          <w:tcPr>
            <w:tcW w:type="dxa" w:w="3200"/>
            <w:shd w:fill="D9D9D9" w:val="clear"/>
            <w:tcMar>
              <w:top w:type="dxa" w:w="60"/>
              <w:left w:type="dxa" w:w="100"/>
              <w:bottom w:type="dxa" w:w="60"/>
              <w:right w:type="dxa" w:w="100"/>
            </w:tcMar>
          </w:tcPr>
          <w:p>
            <w:pPr>
              <w:spacing w:after="0"/>
            </w:pPr>
            <w:r>
              <w:rPr>
                <w:b/>
                <w:bCs/>
                <w:sz w:val="20"/>
                <w:szCs w:val="20"/>
              </w:rPr>
              <w:t xml:space="preserve">Warranty</w:t>
            </w:r>
          </w:p>
        </w:tc>
        <w:tc>
          <w:tcPr>
            <w:tcW w:type="dxa" w:w="5826"/>
            <w:shd w:fill="D9D9D9" w:val="clear"/>
            <w:tcMar>
              <w:top w:type="dxa" w:w="60"/>
              <w:left w:type="dxa" w:w="100"/>
              <w:bottom w:type="dxa" w:w="60"/>
              <w:right w:type="dxa" w:w="100"/>
            </w:tcMar>
          </w:tcPr>
          <w:p>
            <w:pPr>
              <w:spacing w:after="0"/>
            </w:pPr>
            <w:r>
              <w:rPr>
                <w:b/>
                <w:bCs/>
                <w:sz w:val="20"/>
                <w:szCs w:val="20"/>
              </w:rPr>
              <w:t xml:space="preserve">Disclosure</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Sch. 4, Pt 3, para 2 (Material contracts)</w:t>
            </w:r>
          </w:p>
        </w:tc>
        <w:tc>
          <w:tcPr>
            <w:tcW w:type="dxa" w:w="5826"/>
            <w:tcMar>
              <w:top w:type="dxa" w:w="60"/>
              <w:left w:type="dxa" w:w="100"/>
              <w:bottom w:type="dxa" w:w="60"/>
              <w:right w:type="dxa" w:w="100"/>
            </w:tcMar>
          </w:tcPr>
          <w:p>
            <w:pPr>
              <w:spacing w:after="0"/>
            </w:pPr>
            <w:r>
              <w:rPr>
                <w:b w:val="false"/>
                <w:bCs w:val="false"/>
                <w:sz w:val="20"/>
                <w:szCs w:val="20"/>
              </w:rPr>
              <w:t xml:space="preserve">The supply agreement with Stratton Energy plc dated 1 April 2023 contains a change-of-control clause entitling the customer to terminate on a change of control of the Company. A consent request has been issued.</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Sch. 4, Pt 3, para 2 (Material contracts)</w:t>
            </w:r>
          </w:p>
        </w:tc>
        <w:tc>
          <w:tcPr>
            <w:tcW w:type="dxa" w:w="5826"/>
            <w:tcMar>
              <w:top w:type="dxa" w:w="60"/>
              <w:left w:type="dxa" w:w="100"/>
              <w:bottom w:type="dxa" w:w="60"/>
              <w:right w:type="dxa" w:w="100"/>
            </w:tcMar>
          </w:tcPr>
          <w:p>
            <w:pPr>
              <w:spacing w:after="0"/>
            </w:pPr>
            <w:r>
              <w:rPr>
                <w:b w:val="false"/>
                <w:bCs w:val="false"/>
                <w:sz w:val="20"/>
                <w:szCs w:val="20"/>
              </w:rPr>
              <w:t xml:space="preserve">The distribution agreement with Wexbourne Retail Group Limited is terminable on 6 months' notice; notice of price increase served 12 February 2026.</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Sch. 4, Pt 3, para 5 (Litigation)</w:t>
            </w:r>
          </w:p>
        </w:tc>
        <w:tc>
          <w:tcPr>
            <w:tcW w:type="dxa" w:w="5826"/>
            <w:tcMar>
              <w:top w:type="dxa" w:w="60"/>
              <w:left w:type="dxa" w:w="100"/>
              <w:bottom w:type="dxa" w:w="60"/>
              <w:right w:type="dxa" w:w="100"/>
            </w:tcMar>
          </w:tcPr>
          <w:p>
            <w:pPr>
              <w:spacing w:after="0"/>
            </w:pPr>
            <w:r>
              <w:rPr>
                <w:b w:val="false"/>
                <w:bCs w:val="false"/>
                <w:sz w:val="20"/>
                <w:szCs w:val="20"/>
              </w:rPr>
              <w:t xml:space="preserve">A warranty claim by a customer (Halworth Pump Systems Limited) regarding a batch of DN150 gate valves supplied in Q3 2024 was settled in full on 14 November 2024 for £18,500 with no admission of liability. No further claims outstanding.</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Sch. 4, Pt 3, para 6 (Environmental)</w:t>
            </w:r>
          </w:p>
        </w:tc>
        <w:tc>
          <w:tcPr>
            <w:tcW w:type="dxa" w:w="5826"/>
            <w:tcMar>
              <w:top w:type="dxa" w:w="60"/>
              <w:left w:type="dxa" w:w="100"/>
              <w:bottom w:type="dxa" w:w="60"/>
              <w:right w:type="dxa" w:w="100"/>
            </w:tcMar>
          </w:tcPr>
          <w:p>
            <w:pPr>
              <w:spacing w:after="0"/>
            </w:pPr>
            <w:r>
              <w:rPr>
                <w:b w:val="false"/>
                <w:bCs w:val="false"/>
                <w:sz w:val="20"/>
                <w:szCs w:val="20"/>
              </w:rPr>
              <w:t xml:space="preserve">An asbestos survey of the Long Eaton site (dated June 2022) identified non-friable asbestos-containing materials in the roof of Building C, which are managed under an asbestos management plan. No removal works are outstanding.</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Sch. 4, Pt 4, para 1 (Tax)</w:t>
            </w:r>
          </w:p>
        </w:tc>
        <w:tc>
          <w:tcPr>
            <w:tcW w:type="dxa" w:w="5826"/>
            <w:tcMar>
              <w:top w:type="dxa" w:w="60"/>
              <w:left w:type="dxa" w:w="100"/>
              <w:bottom w:type="dxa" w:w="60"/>
              <w:right w:type="dxa" w:w="100"/>
            </w:tcMar>
          </w:tcPr>
          <w:p>
            <w:pPr>
              <w:spacing w:after="0"/>
            </w:pPr>
            <w:r>
              <w:rPr>
                <w:b w:val="false"/>
                <w:bCs w:val="false"/>
                <w:sz w:val="20"/>
                <w:szCs w:val="20"/>
              </w:rPr>
              <w:t xml:space="preserve">An enquiry was opened by HMRC into the Company's R&amp;D tax relief claim for the year ended 31 December 2023; the enquiry was closed without amendment on 3 March 2025 (closure notice in the Disclosure Bundle).</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Sch. 4, Pt 5, para 2 (Employees)</w:t>
            </w:r>
          </w:p>
        </w:tc>
        <w:tc>
          <w:tcPr>
            <w:tcW w:type="dxa" w:w="5826"/>
            <w:tcMar>
              <w:top w:type="dxa" w:w="60"/>
              <w:left w:type="dxa" w:w="100"/>
              <w:bottom w:type="dxa" w:w="60"/>
              <w:right w:type="dxa" w:w="100"/>
            </w:tcMar>
          </w:tcPr>
          <w:p>
            <w:pPr>
              <w:spacing w:after="0"/>
            </w:pPr>
            <w:r>
              <w:rPr>
                <w:b w:val="false"/>
                <w:bCs w:val="false"/>
                <w:sz w:val="20"/>
                <w:szCs w:val="20"/>
              </w:rPr>
              <w:t xml:space="preserve">One employee (a machine operative) is currently on a phased return following a long-term absence; reasonable adjustments are in place. No grievance or tribunal claim is outstanding.</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Sch. 4, Pt 2, para 4 (No material change)</w:t>
            </w:r>
          </w:p>
        </w:tc>
        <w:tc>
          <w:tcPr>
            <w:tcW w:type="dxa" w:w="5826"/>
            <w:tcMar>
              <w:top w:type="dxa" w:w="60"/>
              <w:left w:type="dxa" w:w="100"/>
              <w:bottom w:type="dxa" w:w="60"/>
              <w:right w:type="dxa" w:w="100"/>
            </w:tcMar>
          </w:tcPr>
          <w:p>
            <w:pPr>
              <w:spacing w:after="0"/>
            </w:pPr>
            <w:r>
              <w:rPr>
                <w:b w:val="false"/>
                <w:bCs w:val="false"/>
                <w:sz w:val="20"/>
                <w:szCs w:val="20"/>
              </w:rPr>
              <w:t xml:space="preserve">Capital expenditure of £340,000 on a new five-axis CNC machining centre was committed in January 2026 and is disclosed; this is in the ordinary course of the Company's capital programme.</w:t>
            </w:r>
          </w:p>
        </w:tc>
      </w:tr>
    </w:tbl>
    <w:p>
      <w:pPr>
        <w:pStyle w:val="Heading1"/>
      </w:pPr>
      <w:r>
        <w:t xml:space="preserve">3.   Disclosure Bundle</w:t>
      </w:r>
    </w:p>
    <w:p>
      <w:pPr>
        <w:spacing w:after="120" w:line="276"/>
        <w:jc w:val="both"/>
      </w:pPr>
      <w:r>
        <w:t xml:space="preserve">The Disclosure Bundle accompanying this letter comprises the documents listed in the index annexed and is provided on the basis that each document is fairly disclosed in respect of all Warranties to which it is relevant.</w:t>
      </w:r>
    </w:p>
    <w:p>
      <w:pPr>
        <w:spacing w:before="240"/>
        <w:jc w:val="both"/>
      </w:pPr>
      <w:r>
        <w:t xml:space="preserve">Yours faithfully</w:t>
      </w:r>
    </w:p>
    <w:p>
      <w:pPr>
        <w:spacing w:after="120" w:line="276"/>
        <w:jc w:val="both"/>
      </w:pPr>
      <w:r>
        <w:t xml:space="preserve">____________________</w:t>
      </w:r>
    </w:p>
    <w:p>
      <w:pPr>
        <w:spacing w:after="120" w:line="276"/>
        <w:jc w:val="both"/>
      </w:pPr>
      <w:r>
        <w:t xml:space="preserve">For and on behalf of the Sellers</w:t>
      </w:r>
    </w:p>
    <w:p>
      <w:pPr>
        <w:spacing w:before="200"/>
        <w:jc w:val="both"/>
      </w:pPr>
      <w:r>
        <w:t xml:space="preserve">We acknowledge receipt of this letter and its Disclosure Bundle.</w:t>
      </w:r>
    </w:p>
    <w:p>
      <w:pPr>
        <w:spacing w:after="120" w:line="276"/>
        <w:jc w:val="both"/>
      </w:pPr>
      <w:r>
        <w:t xml:space="preserve">____________________   For and on behalf of Bracken Group plc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888888"/>
        <w:sz w:val="14"/>
        <w:szCs w:val="14"/>
      </w:rPr>
      <w:t xml:space="preserve">Disclosure Letter   Strictly private &amp;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color w:val="666666"/>
        <w:sz w:val="16"/>
        <w:szCs w:val="16"/>
      </w:rPr>
      <w:t xml:space="preserve">Project Drake – Disclosure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2026-06-26T10:26:22.519Z</dcterms:created>
  <dcterms:modified xsi:type="dcterms:W3CDTF">2026-06-26T10:26:22.520Z</dcterms:modified>
</cp:coreProperties>
</file>

<file path=docProps/custom.xml><?xml version="1.0" encoding="utf-8"?>
<Properties xmlns="http://schemas.openxmlformats.org/officeDocument/2006/custom-properties" xmlns:vt="http://schemas.openxmlformats.org/officeDocument/2006/docPropsVTypes"/>
</file>