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32"/>
          <w:szCs w:val="32"/>
        </w:rPr>
        <w:t xml:space="preserve">WHITFIELD CARTER LLP</w:t>
      </w:r>
    </w:p>
    <w:p>
      <w:pPr>
        <w:spacing w:after="0"/>
        <w:jc w:val="center"/>
      </w:pPr>
      <w:r>
        <w:rPr>
          <w:sz w:val="18"/>
          <w:szCs w:val="18"/>
        </w:rPr>
        <w:t xml:space="preserve">22 Bishopsgate, London EC2N 4BQ</w:t>
      </w:r>
    </w:p>
    <w:p>
      <w:pPr>
        <w:pBdr>
          <w:bottom w:val="single" w:color="1F3864" w:sz="6" w:space="6"/>
        </w:pBdr>
        <w:spacing w:after="200"/>
        <w:jc w:val="center"/>
      </w:pPr>
      <w:r>
        <w:rPr>
          <w:color w:val="666666"/>
          <w:sz w:val="16"/>
          <w:szCs w:val="16"/>
        </w:rPr>
        <w:t xml:space="preserve">T +44 (0)20 7946 0500   |   www.whitfieldcarter.com   |   DX 138 London</w:t>
      </w:r>
    </w:p>
    <w:p>
      <w:pPr>
        <w:spacing w:after="80"/>
        <w:jc w:val="center"/>
      </w:pPr>
      <w:r>
        <w:rPr>
          <w:b/>
          <w:bCs/>
          <w:sz w:val="30"/>
          <w:szCs w:val="30"/>
        </w:rPr>
        <w:t xml:space="preserve">HEADS OF TERMS</w:t>
      </w:r>
    </w:p>
    <w:p>
      <w:pPr>
        <w:spacing w:after="240"/>
        <w:jc w:val="center"/>
      </w:pPr>
      <w:r>
        <w:rPr>
          <w:i/>
          <w:iCs/>
          <w:sz w:val="22"/>
          <w:szCs w:val="22"/>
        </w:rPr>
        <w:t xml:space="preserve">Project Drake — Proposed acquisition of Harwood Valve &amp; Controls Limited</w:t>
      </w:r>
    </w:p>
    <w:p>
      <w:pPr>
        <w:spacing w:after="120" w:line="276"/>
        <w:jc w:val="both"/>
        <w:rPr>
          <w:b/>
          <w:bCs/>
        </w:rPr>
      </w:pPr>
      <w:r>
        <w:rPr>
          <w:b/>
          <w:bCs/>
        </w:rPr>
        <w:t xml:space="preserve">Date: 9 October 2025</w:t>
      </w:r>
    </w:p>
    <w:p>
      <w:pPr>
        <w:spacing w:after="120" w:line="276"/>
        <w:jc w:val="both"/>
      </w:pPr>
      <w:r>
        <w:t xml:space="preserve">These Heads of Terms record the principal terms on which Bracken Group plc (the “Buyer”) proposes to acquire the entire issued share capital of Harwood Valve &amp; Controls Limited (the “Company”) from its shareholders (the “Sellers”). Save for the paragraphs headed Exclusivity, Costs, Confidentiality and Governing Law (which are legally binding), these Heads of Terms are subject to contract and are not legally binding.</w:t>
      </w:r>
    </w:p>
    <w:p>
      <w:pPr>
        <w:pStyle w:val="Heading2"/>
      </w:pPr>
      <w:r>
        <w:t xml:space="preserve">1.   The Transaction</w:t>
      </w:r>
    </w:p>
    <w:p>
      <w:pPr>
        <w:spacing w:after="120" w:line="276"/>
        <w:jc w:val="both"/>
      </w:pPr>
      <w:r>
        <w:t xml:space="preserve">The Buyer will acquire 100% of the issued share capital of the Company on a cash-free, debt-free basis assuming a normalised level of working capital.</w:t>
      </w:r>
    </w:p>
    <w:p>
      <w:pPr>
        <w:pStyle w:val="Heading2"/>
      </w:pPr>
      <w:r>
        <w:t xml:space="preserve">2.   Consideration</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700"/>
        <w:gridCol w:w="2200"/>
        <w:gridCol w:w="4126"/>
      </w:tblGrid>
      <w:tr>
        <w:trPr>
          <w:tblHeader/>
        </w:trPr>
        <w:tc>
          <w:tcPr>
            <w:tcW w:type="dxa" w:w="2700"/>
            <w:shd w:fill="D9D9D9" w:val="clear"/>
            <w:tcMar>
              <w:top w:type="dxa" w:w="60"/>
              <w:left w:type="dxa" w:w="100"/>
              <w:bottom w:type="dxa" w:w="60"/>
              <w:right w:type="dxa" w:w="100"/>
            </w:tcMar>
          </w:tcPr>
          <w:p>
            <w:pPr>
              <w:spacing w:after="0"/>
            </w:pPr>
            <w:r>
              <w:rPr>
                <w:b/>
                <w:bCs/>
                <w:sz w:val="20"/>
                <w:szCs w:val="20"/>
              </w:rPr>
              <w:t xml:space="preserve">Element</w:t>
            </w:r>
          </w:p>
        </w:tc>
        <w:tc>
          <w:tcPr>
            <w:tcW w:type="dxa" w:w="2200"/>
            <w:shd w:fill="D9D9D9" w:val="clear"/>
            <w:tcMar>
              <w:top w:type="dxa" w:w="60"/>
              <w:left w:type="dxa" w:w="100"/>
              <w:bottom w:type="dxa" w:w="60"/>
              <w:right w:type="dxa" w:w="100"/>
            </w:tcMar>
          </w:tcPr>
          <w:p>
            <w:pPr>
              <w:spacing w:after="0"/>
            </w:pPr>
            <w:r>
              <w:rPr>
                <w:b/>
                <w:bCs/>
                <w:sz w:val="20"/>
                <w:szCs w:val="20"/>
              </w:rPr>
              <w:t xml:space="preserve">Amount</w:t>
            </w:r>
          </w:p>
        </w:tc>
        <w:tc>
          <w:tcPr>
            <w:tcW w:type="dxa" w:w="4126"/>
            <w:shd w:fill="D9D9D9" w:val="clear"/>
            <w:tcMar>
              <w:top w:type="dxa" w:w="60"/>
              <w:left w:type="dxa" w:w="100"/>
              <w:bottom w:type="dxa" w:w="60"/>
              <w:right w:type="dxa" w:w="100"/>
            </w:tcMar>
          </w:tcPr>
          <w:p>
            <w:pPr>
              <w:spacing w:after="0"/>
            </w:pPr>
            <w:r>
              <w:rPr>
                <w:b/>
                <w:bCs/>
                <w:sz w:val="20"/>
                <w:szCs w:val="20"/>
              </w:rPr>
              <w:t xml:space="preserve">Notes</w:t>
            </w:r>
          </w:p>
        </w:tc>
      </w:tr>
      <w:tr>
        <w:trPr>
          <w:tblHeader w:val="false"/>
        </w:trPr>
        <w:tc>
          <w:tcPr>
            <w:tcW w:type="dxa" w:w="2700"/>
            <w:tcMar>
              <w:top w:type="dxa" w:w="60"/>
              <w:left w:type="dxa" w:w="100"/>
              <w:bottom w:type="dxa" w:w="60"/>
              <w:right w:type="dxa" w:w="100"/>
            </w:tcMar>
          </w:tcPr>
          <w:p>
            <w:pPr>
              <w:spacing w:after="0"/>
            </w:pPr>
            <w:r>
              <w:rPr>
                <w:b w:val="false"/>
                <w:bCs w:val="false"/>
                <w:sz w:val="20"/>
                <w:szCs w:val="20"/>
              </w:rPr>
              <w:t xml:space="preserve">Enterprise Value</w:t>
            </w:r>
          </w:p>
        </w:tc>
        <w:tc>
          <w:tcPr>
            <w:tcW w:type="dxa" w:w="2200"/>
            <w:tcMar>
              <w:top w:type="dxa" w:w="60"/>
              <w:left w:type="dxa" w:w="100"/>
              <w:bottom w:type="dxa" w:w="60"/>
              <w:right w:type="dxa" w:w="100"/>
            </w:tcMar>
          </w:tcPr>
          <w:p>
            <w:pPr>
              <w:spacing w:after="0"/>
            </w:pPr>
            <w:r>
              <w:rPr>
                <w:b w:val="false"/>
                <w:bCs w:val="false"/>
                <w:sz w:val="20"/>
                <w:szCs w:val="20"/>
              </w:rPr>
              <w:t xml:space="preserve">£42,500,000</w:t>
            </w:r>
          </w:p>
        </w:tc>
        <w:tc>
          <w:tcPr>
            <w:tcW w:type="dxa" w:w="4126"/>
            <w:tcMar>
              <w:top w:type="dxa" w:w="60"/>
              <w:left w:type="dxa" w:w="100"/>
              <w:bottom w:type="dxa" w:w="60"/>
              <w:right w:type="dxa" w:w="100"/>
            </w:tcMar>
          </w:tcPr>
          <w:p>
            <w:pPr>
              <w:spacing w:after="0"/>
            </w:pPr>
            <w:r>
              <w:rPr>
                <w:b w:val="false"/>
                <w:bCs w:val="false"/>
                <w:sz w:val="20"/>
                <w:szCs w:val="20"/>
              </w:rPr>
              <w:t xml:space="preserve">Cash-free / debt-free</w:t>
            </w:r>
          </w:p>
        </w:tc>
      </w:tr>
      <w:tr>
        <w:trPr>
          <w:tblHeader w:val="false"/>
        </w:trPr>
        <w:tc>
          <w:tcPr>
            <w:tcW w:type="dxa" w:w="2700"/>
            <w:tcMar>
              <w:top w:type="dxa" w:w="60"/>
              <w:left w:type="dxa" w:w="100"/>
              <w:bottom w:type="dxa" w:w="60"/>
              <w:right w:type="dxa" w:w="100"/>
            </w:tcMar>
          </w:tcPr>
          <w:p>
            <w:pPr>
              <w:spacing w:after="0"/>
            </w:pPr>
            <w:r>
              <w:rPr>
                <w:b w:val="false"/>
                <w:bCs w:val="false"/>
                <w:sz w:val="20"/>
                <w:szCs w:val="20"/>
              </w:rPr>
              <w:t xml:space="preserve">Initial cash consideration</w:t>
            </w:r>
          </w:p>
        </w:tc>
        <w:tc>
          <w:tcPr>
            <w:tcW w:type="dxa" w:w="2200"/>
            <w:tcMar>
              <w:top w:type="dxa" w:w="60"/>
              <w:left w:type="dxa" w:w="100"/>
              <w:bottom w:type="dxa" w:w="60"/>
              <w:right w:type="dxa" w:w="100"/>
            </w:tcMar>
          </w:tcPr>
          <w:p>
            <w:pPr>
              <w:spacing w:after="0"/>
            </w:pPr>
            <w:r>
              <w:rPr>
                <w:b w:val="false"/>
                <w:bCs w:val="false"/>
                <w:sz w:val="20"/>
                <w:szCs w:val="20"/>
              </w:rPr>
              <w:t xml:space="preserve">£39,500,000</w:t>
            </w:r>
          </w:p>
        </w:tc>
        <w:tc>
          <w:tcPr>
            <w:tcW w:type="dxa" w:w="4126"/>
            <w:tcMar>
              <w:top w:type="dxa" w:w="60"/>
              <w:left w:type="dxa" w:w="100"/>
              <w:bottom w:type="dxa" w:w="60"/>
              <w:right w:type="dxa" w:w="100"/>
            </w:tcMar>
          </w:tcPr>
          <w:p>
            <w:pPr>
              <w:spacing w:after="0"/>
            </w:pPr>
            <w:r>
              <w:rPr>
                <w:b w:val="false"/>
                <w:bCs w:val="false"/>
                <w:sz w:val="20"/>
                <w:szCs w:val="20"/>
              </w:rPr>
              <w:t xml:space="preserve">Payable at Completion (subject to adjustment)</w:t>
            </w:r>
          </w:p>
        </w:tc>
      </w:tr>
      <w:tr>
        <w:trPr>
          <w:tblHeader w:val="false"/>
        </w:trPr>
        <w:tc>
          <w:tcPr>
            <w:tcW w:type="dxa" w:w="2700"/>
            <w:tcMar>
              <w:top w:type="dxa" w:w="60"/>
              <w:left w:type="dxa" w:w="100"/>
              <w:bottom w:type="dxa" w:w="60"/>
              <w:right w:type="dxa" w:w="100"/>
            </w:tcMar>
          </w:tcPr>
          <w:p>
            <w:pPr>
              <w:spacing w:after="0"/>
            </w:pPr>
            <w:r>
              <w:rPr>
                <w:b w:val="false"/>
                <w:bCs w:val="false"/>
                <w:sz w:val="20"/>
                <w:szCs w:val="20"/>
              </w:rPr>
              <w:t xml:space="preserve">Escrow / retention</w:t>
            </w:r>
          </w:p>
        </w:tc>
        <w:tc>
          <w:tcPr>
            <w:tcW w:type="dxa" w:w="2200"/>
            <w:tcMar>
              <w:top w:type="dxa" w:w="60"/>
              <w:left w:type="dxa" w:w="100"/>
              <w:bottom w:type="dxa" w:w="60"/>
              <w:right w:type="dxa" w:w="100"/>
            </w:tcMar>
          </w:tcPr>
          <w:p>
            <w:pPr>
              <w:spacing w:after="0"/>
            </w:pPr>
            <w:r>
              <w:rPr>
                <w:b w:val="false"/>
                <w:bCs w:val="false"/>
                <w:sz w:val="20"/>
                <w:szCs w:val="20"/>
              </w:rPr>
              <w:t xml:space="preserve">£3,000,000</w:t>
            </w:r>
          </w:p>
        </w:tc>
        <w:tc>
          <w:tcPr>
            <w:tcW w:type="dxa" w:w="4126"/>
            <w:tcMar>
              <w:top w:type="dxa" w:w="60"/>
              <w:left w:type="dxa" w:w="100"/>
              <w:bottom w:type="dxa" w:w="60"/>
              <w:right w:type="dxa" w:w="100"/>
            </w:tcMar>
          </w:tcPr>
          <w:p>
            <w:pPr>
              <w:spacing w:after="0"/>
            </w:pPr>
            <w:r>
              <w:rPr>
                <w:b w:val="false"/>
                <w:bCs w:val="false"/>
                <w:sz w:val="20"/>
                <w:szCs w:val="20"/>
              </w:rPr>
              <w:t xml:space="preserve">18-month escrow against warranty &amp; tax claims</w:t>
            </w:r>
          </w:p>
        </w:tc>
      </w:tr>
      <w:tr>
        <w:trPr>
          <w:tblHeader w:val="false"/>
        </w:trPr>
        <w:tc>
          <w:tcPr>
            <w:tcW w:type="dxa" w:w="2700"/>
            <w:tcMar>
              <w:top w:type="dxa" w:w="60"/>
              <w:left w:type="dxa" w:w="100"/>
              <w:bottom w:type="dxa" w:w="60"/>
              <w:right w:type="dxa" w:w="100"/>
            </w:tcMar>
          </w:tcPr>
          <w:p>
            <w:pPr>
              <w:spacing w:after="0"/>
            </w:pPr>
            <w:r>
              <w:rPr>
                <w:b w:val="false"/>
                <w:bCs w:val="false"/>
                <w:sz w:val="20"/>
                <w:szCs w:val="20"/>
              </w:rPr>
              <w:t xml:space="preserve">Earn-out (deferred)</w:t>
            </w:r>
          </w:p>
        </w:tc>
        <w:tc>
          <w:tcPr>
            <w:tcW w:type="dxa" w:w="2200"/>
            <w:tcMar>
              <w:top w:type="dxa" w:w="60"/>
              <w:left w:type="dxa" w:w="100"/>
              <w:bottom w:type="dxa" w:w="60"/>
              <w:right w:type="dxa" w:w="100"/>
            </w:tcMar>
          </w:tcPr>
          <w:p>
            <w:pPr>
              <w:spacing w:after="0"/>
            </w:pPr>
            <w:r>
              <w:rPr>
                <w:b w:val="false"/>
                <w:bCs w:val="false"/>
                <w:sz w:val="20"/>
                <w:szCs w:val="20"/>
              </w:rPr>
              <w:t xml:space="preserve">up to £3,000,000</w:t>
            </w:r>
          </w:p>
        </w:tc>
        <w:tc>
          <w:tcPr>
            <w:tcW w:type="dxa" w:w="4126"/>
            <w:tcMar>
              <w:top w:type="dxa" w:w="60"/>
              <w:left w:type="dxa" w:w="100"/>
              <w:bottom w:type="dxa" w:w="60"/>
              <w:right w:type="dxa" w:w="100"/>
            </w:tcMar>
          </w:tcPr>
          <w:p>
            <w:pPr>
              <w:spacing w:after="0"/>
            </w:pPr>
            <w:r>
              <w:rPr>
                <w:b w:val="false"/>
                <w:bCs w:val="false"/>
                <w:sz w:val="20"/>
                <w:szCs w:val="20"/>
              </w:rPr>
              <w:t xml:space="preserve">By reference to FY2026 EBITDA</w:t>
            </w:r>
          </w:p>
        </w:tc>
      </w:tr>
      <w:tr>
        <w:trPr>
          <w:tblHeader w:val="false"/>
        </w:trPr>
        <w:tc>
          <w:tcPr>
            <w:tcW w:type="dxa" w:w="2700"/>
            <w:tcMar>
              <w:top w:type="dxa" w:w="60"/>
              <w:left w:type="dxa" w:w="100"/>
              <w:bottom w:type="dxa" w:w="60"/>
              <w:right w:type="dxa" w:w="100"/>
            </w:tcMar>
          </w:tcPr>
          <w:p>
            <w:pPr>
              <w:spacing w:after="0"/>
            </w:pPr>
            <w:r>
              <w:rPr>
                <w:b w:val="false"/>
                <w:bCs w:val="false"/>
                <w:sz w:val="20"/>
                <w:szCs w:val="20"/>
              </w:rPr>
              <w:t xml:space="preserve">Target working capital</w:t>
            </w:r>
          </w:p>
        </w:tc>
        <w:tc>
          <w:tcPr>
            <w:tcW w:type="dxa" w:w="2200"/>
            <w:tcMar>
              <w:top w:type="dxa" w:w="60"/>
              <w:left w:type="dxa" w:w="100"/>
              <w:bottom w:type="dxa" w:w="60"/>
              <w:right w:type="dxa" w:w="100"/>
            </w:tcMar>
          </w:tcPr>
          <w:p>
            <w:pPr>
              <w:spacing w:after="0"/>
            </w:pPr>
            <w:r>
              <w:rPr>
                <w:b w:val="false"/>
                <w:bCs w:val="false"/>
                <w:sz w:val="20"/>
                <w:szCs w:val="20"/>
              </w:rPr>
              <w:t xml:space="preserve">£4,200,000</w:t>
            </w:r>
          </w:p>
        </w:tc>
        <w:tc>
          <w:tcPr>
            <w:tcW w:type="dxa" w:w="4126"/>
            <w:tcMar>
              <w:top w:type="dxa" w:w="60"/>
              <w:left w:type="dxa" w:w="100"/>
              <w:bottom w:type="dxa" w:w="60"/>
              <w:right w:type="dxa" w:w="100"/>
            </w:tcMar>
          </w:tcPr>
          <w:p>
            <w:pPr>
              <w:spacing w:after="0"/>
            </w:pPr>
            <w:r>
              <w:rPr>
                <w:b w:val="false"/>
                <w:bCs w:val="false"/>
                <w:sz w:val="20"/>
                <w:szCs w:val="20"/>
              </w:rPr>
              <w:t xml:space="preserve">Pound-for-pound adjustment vs actual</w:t>
            </w:r>
          </w:p>
        </w:tc>
      </w:tr>
    </w:tbl>
    <w:p>
      <w:pPr>
        <w:pStyle w:val="Heading2"/>
      </w:pPr>
      <w:r>
        <w:t xml:space="preserve">3.   Conditions</w:t>
      </w:r>
    </w:p>
    <w:p>
      <w:pPr>
        <w:spacing w:after="120" w:line="276"/>
        <w:jc w:val="both"/>
      </w:pPr>
      <w:r>
        <w:t xml:space="preserve">Completion will be conditional on, among other things: (a) satisfactory completion of legal, financial and tax due diligence; (b) UK merger-control clearance (or confirmation of no reference) from the Competition and Markets Authority; (c) change-of-control consent from Clydesford Bank plc; and (d) key customer consents.</w:t>
      </w:r>
    </w:p>
    <w:p>
      <w:pPr>
        <w:pStyle w:val="Heading2"/>
      </w:pPr>
      <w:r>
        <w:t xml:space="preserve">4.   Warranties and indemnities</w:t>
      </w:r>
    </w:p>
    <w:p>
      <w:pPr>
        <w:spacing w:after="120" w:line="276"/>
        <w:jc w:val="both"/>
      </w:pPr>
      <w:r>
        <w:t xml:space="preserve">The Sellers will give customary warranties as to title, capacity, the business, the accounts, tax, contracts, employees, IP and litigation, together with a tax covenant, subject to disclosure and to agreed limitations on liability (de minimis, threshold and an overall cap).</w:t>
      </w:r>
    </w:p>
    <w:p>
      <w:pPr>
        <w:pStyle w:val="Heading2"/>
      </w:pPr>
      <w:r>
        <w:t xml:space="preserve">5.   Management and employees</w:t>
      </w:r>
    </w:p>
    <w:p>
      <w:pPr>
        <w:spacing w:after="120" w:line="276"/>
        <w:jc w:val="both"/>
      </w:pPr>
      <w:r>
        <w:t xml:space="preserve">Stephen Harwood will remain as Managing Director for a minimum of 12 months post-Completion under a new service agreement. Existing employment terms of the wider workforce will be preserved. Geoffrey and Margaret Harwood will retire on Completion.</w:t>
      </w:r>
    </w:p>
    <w:p>
      <w:pPr>
        <w:pStyle w:val="Heading2"/>
      </w:pPr>
      <w:r>
        <w:t xml:space="preserve">6.   Restrictive covenants</w:t>
      </w:r>
    </w:p>
    <w:p>
      <w:pPr>
        <w:spacing w:after="120" w:line="276"/>
        <w:jc w:val="both"/>
      </w:pPr>
      <w:r>
        <w:t xml:space="preserve">The individual Sellers will give non-compete, non-solicitation and confidentiality covenants for a period of three years from Completion.</w:t>
      </w:r>
    </w:p>
    <w:p>
      <w:pPr>
        <w:pStyle w:val="Heading2"/>
      </w:pPr>
      <w:r>
        <w:t xml:space="preserve">7.   Exclusivity (binding)</w:t>
      </w:r>
    </w:p>
    <w:p>
      <w:pPr>
        <w:spacing w:after="120" w:line="276"/>
        <w:jc w:val="both"/>
      </w:pPr>
      <w:r>
        <w:t xml:space="preserve">For a period of 10 weeks from the date of these Heads of Terms (the “Exclusivity Period”), the Sellers will not, and will procure that the Company does not, solicit, encourage or enter into discussions with any third party in relation to a sale of the Company or its business.</w:t>
      </w:r>
    </w:p>
    <w:p>
      <w:pPr>
        <w:pStyle w:val="Heading2"/>
      </w:pPr>
      <w:r>
        <w:t xml:space="preserve">8.   Costs (binding)</w:t>
      </w:r>
    </w:p>
    <w:p>
      <w:pPr>
        <w:spacing w:after="120" w:line="276"/>
        <w:jc w:val="both"/>
      </w:pPr>
      <w:r>
        <w:t xml:space="preserve">Each party will bear its own costs in relation to the Transaction, save that the Sellers will be responsible for the Company's costs incurred prior to Completion.</w:t>
      </w:r>
    </w:p>
    <w:p>
      <w:pPr>
        <w:pStyle w:val="Heading2"/>
      </w:pPr>
      <w:r>
        <w:t xml:space="preserve">9.   Confidentiality (binding)</w:t>
      </w:r>
    </w:p>
    <w:p>
      <w:pPr>
        <w:spacing w:after="120" w:line="276"/>
        <w:jc w:val="both"/>
      </w:pPr>
      <w:r>
        <w:t xml:space="preserve">The parties will keep the existence and terms of these Heads of Terms confidential, in accordance with the confidentiality agreement dated 18 September 2025.</w:t>
      </w:r>
    </w:p>
    <w:p>
      <w:pPr>
        <w:pStyle w:val="Heading2"/>
      </w:pPr>
      <w:r>
        <w:t xml:space="preserve">10.   Timetable</w:t>
      </w:r>
    </w:p>
    <w:p>
      <w:pPr>
        <w:spacing w:after="120" w:line="276"/>
        <w:jc w:val="both"/>
      </w:pPr>
      <w:r>
        <w:t xml:space="preserve">The parties aim to sign the share purchase agreement by mid-January 2026 and to complete by late February 2026, subject to satisfaction of the Conditions.</w:t>
      </w:r>
    </w:p>
    <w:p>
      <w:pPr>
        <w:pStyle w:val="Heading2"/>
      </w:pPr>
      <w:r>
        <w:t xml:space="preserve">11.   Governing law (binding)</w:t>
      </w:r>
    </w:p>
    <w:p>
      <w:pPr>
        <w:spacing w:after="120" w:line="276"/>
        <w:jc w:val="both"/>
      </w:pPr>
      <w:r>
        <w:t xml:space="preserve">These Heads of Terms are governed by the law of England and Wales and subject to the exclusive jurisdiction of the courts of England and Wales.</w:t>
      </w:r>
    </w:p>
    <w:p>
      <w:pPr>
        <w:spacing w:before="240"/>
        <w:jc w:val="both"/>
        <w:rPr>
          <w:b/>
          <w:bCs/>
        </w:rPr>
      </w:pPr>
      <w:r>
        <w:rPr>
          <w:b/>
          <w:bCs/>
        </w:rPr>
        <w:t xml:space="preserve">Agreed in principle (subject to contract):</w:t>
      </w:r>
    </w:p>
    <w:p>
      <w:pPr>
        <w:spacing w:after="120" w:line="276"/>
        <w:jc w:val="both"/>
      </w:pPr>
      <w:r>
        <w:t xml:space="preserve">For the Buyer: ____________________   Mark Ferris, Head of M&amp;A, Bracken Group plc</w:t>
      </w:r>
    </w:p>
    <w:p>
      <w:pPr>
        <w:spacing w:after="120" w:line="276"/>
        <w:jc w:val="both"/>
      </w:pPr>
      <w:r>
        <w:t xml:space="preserve">For the Sellers: ____________________   Geoffrey Harwood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888888"/>
        <w:sz w:val="14"/>
        <w:szCs w:val="14"/>
      </w:rPr>
      <w:t xml:space="preserve">Heads of Terms   Strictly private &amp;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color w:val="666666"/>
        <w:sz w:val="16"/>
        <w:szCs w:val="16"/>
      </w:rPr>
      <w:t xml:space="preserve">Project Drake – Heads of Terms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2026-06-26T10:26:22.394Z</dcterms:created>
  <dcterms:modified xsi:type="dcterms:W3CDTF">2026-06-26T10:26:22.394Z</dcterms:modified>
</cp:coreProperties>
</file>

<file path=docProps/custom.xml><?xml version="1.0" encoding="utf-8"?>
<Properties xmlns="http://schemas.openxmlformats.org/officeDocument/2006/custom-properties" xmlns:vt="http://schemas.openxmlformats.org/officeDocument/2006/docPropsVTypes"/>
</file>