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COMPLETION CHECKLIST</w:t>
      </w:r>
    </w:p>
    <w:p>
      <w:pPr>
        <w:spacing w:after="60"/>
        <w:jc w:val="center"/>
      </w:pPr>
      <w:r>
        <w:rPr>
          <w:sz w:val="20"/>
          <w:szCs w:val="20"/>
        </w:rPr>
        <w:t xml:space="preserve">Project Falcon — Acquisition of Greaves Precision Components Limited</w:t>
      </w:r>
    </w:p>
    <w:p>
      <w:pPr>
        <w:spacing w:after="200"/>
        <w:jc w:val="center"/>
      </w:pPr>
      <w:r>
        <w:rPr>
          <w:color w:val="555555"/>
          <w:sz w:val="16"/>
          <w:szCs w:val="16"/>
        </w:rPr>
        <w:t xml:space="preserve">Completion: 10 October 2025 · Prepared by Whitfield Carter LLP</w:t>
      </w:r>
    </w:p>
    <w:p>
      <w:pPr>
        <w:spacing w:after="120"/>
      </w:pPr>
      <w:r>
        <w:rPr>
          <w:i/>
          <w:iCs/>
        </w:rPr>
        <w:t xml:space="preserve">Key: B = Buyer (Bracken / Whitfield Carter) · S = Sellers (Castle &amp; Vane) · C = Company</w:t>
      </w:r>
    </w:p>
    <w:p>
      <w:pPr>
        <w:pStyle w:val="Heading2"/>
      </w:pPr>
      <w:r>
        <w:t xml:space="preserve">1   Pre-completion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900"/>
        <w:gridCol w:w="17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Document / Step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Final agreed form SPA settled and engrossed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B/S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1.2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Disclosure Letter and Disclosure Bundle agreed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1.3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Escrow Agreement agreed and engrossed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B/S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1.4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Service agreement (Daniel Greaves) and consultancy agreement (Geoffrey Greaves) agreed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B/S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1.5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Funds flow statement agreed; Buyer to confirm cleared funds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1.6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Companies House and Land Registry bring-down searches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1.7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Board resolutions of Buyer authorising the acquisition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</w:tbl>
    <w:p>
      <w:pPr>
        <w:pStyle w:val="Heading2"/>
      </w:pPr>
      <w:r>
        <w:t xml:space="preserve">2   Completion deliverables — Sellers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60"/>
        <w:gridCol w:w="17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2.1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Stock transfer forms for the Shares duly executed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Received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2.2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Share certificates for the Shares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Received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2.3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Statutory registers, minute books and certificate of incorporation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Received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2.4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Resignation letters: G. Greaves (director); M. Greaves (director and secretary)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Received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2.5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Board minutes of the Company approving transfers and appointments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Received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2.6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Executed Disclosure Letter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Received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2.7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Executed service and consultancy agreements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Received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2.8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Bank mandates and details of all bank accounts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Received</w:t>
            </w:r>
          </w:p>
        </w:tc>
      </w:tr>
    </w:tbl>
    <w:p>
      <w:pPr>
        <w:pStyle w:val="Heading2"/>
      </w:pPr>
      <w:r>
        <w:t xml:space="preserve">3   Completion deliverables — Buyer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60"/>
        <w:gridCol w:w="17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3.1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Payment of Completion Payment (£22,900,000) to Sellers’ Solicitors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Paid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3.2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Payment of Escrow Amount (£1,500,000) to Escrow Account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Paid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3.3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Counterpart SPA, Escrow Agreement and ancillary documents executed by Buyer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Delivered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3.4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Certified board minutes of the Buyer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Delivered</w:t>
            </w:r>
          </w:p>
        </w:tc>
      </w:tr>
    </w:tbl>
    <w:p>
      <w:pPr>
        <w:pStyle w:val="Heading2"/>
      </w:pPr>
      <w:r>
        <w:t xml:space="preserve">4   Post-completion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900"/>
        <w:gridCol w:w="17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4.1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Stamp transfer forms / pay SDRT and submit to HMRC (£25,400,000 × 0.5%)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 do — by 9 Nov 2025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4.2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Update register of members; issue new share certificate to Buyer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B/C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4.3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File AP01/TM01 appointments and resignations at Companies House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4.4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File PSC notification (Bracken Group plc as new PSC)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4.5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Prepare and agree Completion Accounts (within 45 Business Days)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4.6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Diarise escrow release (21 months) and earn-out determination (FY2026)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Diarised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026"/>
      </w:tabs>
      <w:spacing w:before="60"/>
    </w:pPr>
    <w:r>
      <w:rPr>
        <w:color w:val="777777"/>
        <w:sz w:val="14"/>
        <w:szCs w:val="14"/>
      </w:rPr>
      <w:t xml:space="preserve">Project Falcon — Completion Checklist   Whitfield Carter LLP · Confidential and may be legally privileged.</w:t>
    </w:r>
    <w:r>
      <w:rPr>
        <w:color w:val="777777"/>
        <w:sz w:val="14"/>
        <w:szCs w:val="14"/>
      </w:rPr>
      <w:t xml:space="preserve">	Page </w:t>
    </w:r>
    <w:r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b/>
        <w:bCs/>
        <w:color w:val="1F3864"/>
        <w:sz w:val="26"/>
        <w:szCs w:val="26"/>
      </w:rPr>
      <w:t xml:space="preserve">Whitfield Carter LLP</w:t>
    </w:r>
  </w:p>
  <w:p>
    <w:pPr>
      <w:pBdr>
        <w:bottom w:val="single" w:color="1F3864" w:sz="6" w:space="2"/>
      </w:pBdr>
      <w:spacing w:after="40"/>
      <w:jc w:val="left"/>
    </w:pPr>
    <w:r>
      <w:rPr>
        <w:color w:val="555555"/>
        <w:sz w:val="15"/>
        <w:szCs w:val="15"/>
      </w:rPr>
      <w:t xml:space="preserve">Solicitors  ·  22 Bishopsgate, London EC2N 4BQ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i/>
      <w:i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2026-06-25T12:54:45.222Z</dcterms:created>
  <dcterms:modified xsi:type="dcterms:W3CDTF">2026-06-25T12:54:45.222Z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