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DISCLOSURE LETTER</w:t>
      </w:r>
    </w:p>
    <w:p>
      <w:pPr>
        <w:spacing w:after="200"/>
        <w:jc w:val="center"/>
      </w:pPr>
      <w:r>
        <w:rPr>
          <w:sz w:val="20"/>
          <w:szCs w:val="20"/>
        </w:rPr>
        <w:t xml:space="preserve">Project Falcon — Acquisition of Greaves Precision Components Limited</w:t>
      </w:r>
    </w:p>
    <w:p>
      <w:pPr>
        <w:spacing w:after="120"/>
      </w:pPr>
      <w:r>
        <w:t xml:space="preserve">From:  The Sellers (as defined in the Agreement)</w:t>
      </w:r>
    </w:p>
    <w:p>
      <w:pPr>
        <w:spacing w:after="120"/>
      </w:pPr>
      <w:r>
        <w:t xml:space="preserve">To:    Bracken Group plc (the “Buyer”)</w:t>
      </w:r>
    </w:p>
    <w:p>
      <w:pPr>
        <w:spacing w:after="120"/>
      </w:pPr>
      <w:r>
        <w:t xml:space="preserve">Date:  10 October 2025</w:t>
      </w:r>
    </w:p>
    <w:p>
      <w:r>
        <w:t xml:space="preserve"/>
      </w:r>
    </w:p>
    <w:p>
      <w:pPr>
        <w:spacing w:after="120"/>
      </w:pPr>
      <w:r>
        <w:t xml:space="preserve">Dear Sirs</w:t>
      </w:r>
    </w:p>
    <w:p>
      <w:pPr>
        <w:pStyle w:val="Heading2"/>
      </w:pPr>
      <w:r>
        <w:t xml:space="preserve">Share Purchase Agreement relating to Greaves Precision Components Limited</w:t>
      </w:r>
    </w:p>
    <w:p>
      <w:pPr>
        <w:spacing w:after="120"/>
      </w:pPr>
      <w:r>
        <w:t xml:space="preserve">We refer to the share purchase agreement of today’s date between the Sellers (1) and the Buyer (2) for the sale and purchase of the entire issued share capital of Greaves Precision Components Limited (the “Agreement”). Terms defined in the Agreement have the same meaning in this letter.</w:t>
      </w:r>
    </w:p>
    <w:p>
      <w:pPr>
        <w:spacing w:after="120"/>
      </w:pPr>
      <w:r>
        <w:t xml:space="preserve">This letter is the Disclosure Letter referred to in the Agreement. It is delivered in connection with, and qualifies, the Warranties. No matter disclosed in this letter constitutes an admission of any liability or obligation of the Company or the Sellers to any third party.</w:t>
      </w:r>
    </w:p>
    <w:p>
      <w:pPr>
        <w:pStyle w:val="Heading2"/>
      </w:pPr>
      <w:r>
        <w:t xml:space="preserve">1   General Disclosures</w:t>
      </w:r>
    </w:p>
    <w:p>
      <w:pPr>
        <w:spacing w:after="120"/>
      </w:pPr>
      <w:r>
        <w:t xml:space="preserve">The Warranties are subject to the following matters, which are disclosed generally and qualify all of the Warranties whether or not specifically referred to in the Specific Disclosures:</w:t>
      </w:r>
    </w:p>
    <w:p>
      <w:pPr>
        <w:pStyle w:val="ListParagraph"/>
        <w:numPr>
          <w:ilvl w:val="0"/>
          <w:numId w:val="2"/>
        </w:numPr>
        <w:spacing w:after="120"/>
      </w:pPr>
      <w:r>
        <w:t xml:space="preserve">All matters provided for or noted in the Accounts and the Management Accounts.</w:t>
      </w:r>
    </w:p>
    <w:p>
      <w:pPr>
        <w:pStyle w:val="ListParagraph"/>
        <w:numPr>
          <w:ilvl w:val="0"/>
          <w:numId w:val="2"/>
        </w:numPr>
        <w:spacing w:after="120"/>
      </w:pPr>
      <w:r>
        <w:t xml:space="preserve">All matters which would be revealed by a search of the public records of the Company at Companies House, the Land Registry, the Intellectual Property Office, and the register of the Registry of Judgments, Orders and Fines, in each case made not more than two Business Days before the date of this letter.</w:t>
      </w:r>
    </w:p>
    <w:p>
      <w:pPr>
        <w:pStyle w:val="ListParagraph"/>
        <w:numPr>
          <w:ilvl w:val="0"/>
          <w:numId w:val="2"/>
        </w:numPr>
        <w:spacing w:after="120"/>
      </w:pPr>
      <w:r>
        <w:t xml:space="preserve">All matters fairly disclosed in the documents contained in the data room, an index of which is annexed at Appendix 1 and a copy of which has been delivered to the Buyer on a USB drive and is the subject of a separate certificate.</w:t>
      </w:r>
    </w:p>
    <w:p>
      <w:pPr>
        <w:pStyle w:val="ListParagraph"/>
        <w:numPr>
          <w:ilvl w:val="0"/>
          <w:numId w:val="2"/>
        </w:numPr>
        <w:spacing w:after="120"/>
      </w:pPr>
      <w:r>
        <w:t xml:space="preserve">All matters which are within the actual knowledge of Mark Ferris or Tom Gallagher of the Buyer’s deal team as at the date of this letter.</w:t>
      </w:r>
    </w:p>
    <w:p>
      <w:pPr>
        <w:pStyle w:val="ListParagraph"/>
        <w:numPr>
          <w:ilvl w:val="0"/>
          <w:numId w:val="2"/>
        </w:numPr>
        <w:spacing w:after="120"/>
      </w:pPr>
      <w:r>
        <w:t xml:space="preserve">Any matter arising in the ordinary course of the business of the Company since the Accounts Date.</w:t>
      </w:r>
    </w:p>
    <w:p>
      <w:pPr>
        <w:pStyle w:val="Heading2"/>
      </w:pPr>
      <w:r>
        <w:t xml:space="preserve">2   Specific Disclosures</w:t>
      </w:r>
    </w:p>
    <w:p>
      <w:pPr>
        <w:spacing w:after="120"/>
      </w:pPr>
      <w:r>
        <w:t xml:space="preserve">The following specific disclosures are made against the Warranties identified. The numbering follows Schedule 4 of the Agreement.</w:t>
      </w:r>
    </w:p>
    <w:p>
      <w:pPr>
        <w:pStyle w:val="Heading3"/>
      </w:pPr>
      <w:r>
        <w:t xml:space="preserve">Against Part 3 (Assets, contracts and trading)</w:t>
      </w:r>
    </w:p>
    <w:p>
      <w:pPr>
        <w:pStyle w:val="ListParagraph"/>
        <w:numPr>
          <w:ilvl w:val="0"/>
          <w:numId w:val="3"/>
        </w:numPr>
        <w:spacing w:after="120"/>
      </w:pPr>
      <w:r>
        <w:t xml:space="preserve">Warranty 3.2 (customers): the Company’s largest customer, Severn Aero Systems Ltd, accounted for approximately 18% of turnover in the year ended 31 December 2024. Its current supply arrangement is terminable on 6 months’ notice and is due for re-tender in Q2 2026 (data room document 4.3.1).</w:t>
      </w:r>
    </w:p>
    <w:p>
      <w:pPr>
        <w:pStyle w:val="ListParagraph"/>
        <w:numPr>
          <w:ilvl w:val="0"/>
          <w:numId w:val="3"/>
        </w:numPr>
        <w:spacing w:after="120"/>
      </w:pPr>
      <w:r>
        <w:t xml:space="preserve">Warranty 3.3 (onerous contracts): the Company is party to a fixed-price tooling supply contract with Halton Marine Ltd dated 4 March 2024 which runs to 31 December 2026 and is currently expected to be loss-making by approximately £85,000 over its remaining term (data room document 4.4.7).</w:t>
      </w:r>
    </w:p>
    <w:p>
      <w:pPr>
        <w:pStyle w:val="Heading3"/>
      </w:pPr>
      <w:r>
        <w:t xml:space="preserve">Against Part 4 (Employees and pensions)</w:t>
      </w:r>
    </w:p>
    <w:p>
      <w:pPr>
        <w:pStyle w:val="ListParagraph"/>
        <w:numPr>
          <w:ilvl w:val="0"/>
          <w:numId w:val="3"/>
        </w:numPr>
        <w:spacing w:after="120"/>
      </w:pPr>
      <w:r>
        <w:t xml:space="preserve">Warranty 4.1 (employees): a current consultation is ongoing in relation to a proposed change to shift patterns affecting 14 production staff. No collective redundancy is proposed (data room document 6.2).</w:t>
      </w:r>
    </w:p>
    <w:p>
      <w:pPr>
        <w:pStyle w:val="Heading3"/>
      </w:pPr>
      <w:r>
        <w:t xml:space="preserve">Against Part 5 (Litigation, compliance and IP)</w:t>
      </w:r>
    </w:p>
    <w:p>
      <w:pPr>
        <w:pStyle w:val="ListParagraph"/>
        <w:numPr>
          <w:ilvl w:val="0"/>
          <w:numId w:val="3"/>
        </w:numPr>
        <w:spacing w:after="120"/>
      </w:pPr>
      <w:r>
        <w:t xml:space="preserve">Warranty 5.1 (litigation): a former employee, Mr K. Sharp, has intimated (but not issued) a claim for unfair dismissal following his dismissal in March 2025. The Company has taken advice and considers the claim to be without merit; a copy of the correspondence is at data room document 7.1.</w:t>
      </w:r>
    </w:p>
    <w:p>
      <w:pPr>
        <w:pStyle w:val="ListParagraph"/>
        <w:numPr>
          <w:ilvl w:val="0"/>
          <w:numId w:val="3"/>
        </w:numPr>
        <w:spacing w:after="120"/>
      </w:pPr>
      <w:r>
        <w:t xml:space="preserve">Warranty 5.3 (intellectual property): the Company uses certain CAD/CAM software under a subscription that is in the process of being renewed; there is a short gap in the formal licence documentation which is being remedied (data room document 5.5).</w:t>
      </w:r>
    </w:p>
    <w:p>
      <w:pPr>
        <w:pStyle w:val="Heading3"/>
      </w:pPr>
      <w:r>
        <w:t xml:space="preserve">Against Part 6 (Tax)</w:t>
      </w:r>
    </w:p>
    <w:p>
      <w:pPr>
        <w:pStyle w:val="ListParagraph"/>
        <w:numPr>
          <w:ilvl w:val="0"/>
          <w:numId w:val="3"/>
        </w:numPr>
        <w:spacing w:after="120"/>
      </w:pPr>
      <w:r>
        <w:t xml:space="preserve">Warranty 6.1 (returns): the Company’s R&amp;D tax relief claim for the period ended 31 December 2023 remains under enquiry by HMRC. The Company’s advisers consider the claim to be well-founded; correspondence is at data room document 8.4.</w:t>
      </w:r>
    </w:p>
    <w:p>
      <w:r>
        <w:t xml:space="preserve"/>
      </w:r>
    </w:p>
    <w:p>
      <w:pPr>
        <w:pStyle w:val="Heading2"/>
      </w:pPr>
      <w:r>
        <w:t xml:space="preserve">3   Annexes</w:t>
      </w:r>
    </w:p>
    <w:p>
      <w:pPr>
        <w:spacing w:after="120"/>
      </w:pPr>
      <w:r>
        <w:t xml:space="preserve">Appendix 1: Data Room Index (separately bound).</w:t>
      </w:r>
    </w:p>
    <w:p>
      <w:pPr>
        <w:spacing w:after="120"/>
      </w:pPr>
      <w:r>
        <w:t xml:space="preserve">Appendix 2: Disclosure Bundle (USB drive).</w:t>
      </w:r>
    </w:p>
    <w:p>
      <w:r>
        <w:t xml:space="preserve"/>
      </w:r>
    </w:p>
    <w:p>
      <w:pPr>
        <w:spacing w:after="120"/>
      </w:pPr>
      <w:r>
        <w:t xml:space="preserve">Please acknowledge receipt and acceptance of this letter and the Disclosure Bundle by signing and returning the enclosed copy.</w:t>
      </w:r>
    </w:p>
    <w:p>
      <w:r>
        <w:t xml:space="preserve"/>
      </w:r>
    </w:p>
    <w:p>
      <w:pPr>
        <w:spacing w:after="120"/>
      </w:pPr>
      <w:r>
        <w:t xml:space="preserve">Yours faithfully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w:t>
            </w:r>
          </w:p>
          <w:p>
            <w:pPr>
              <w:spacing w:after="0"/>
            </w:pPr>
            <w:r>
              <w:t xml:space="preserve">for and on behalf of the Sellers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Acknowledged and accepted:</w:t>
            </w:r>
          </w:p>
          <w:p>
            <w:pPr>
              <w:spacing w:after="0"/>
            </w:pPr>
            <w:r>
              <w:t xml:space="preserve">..............................................</w:t>
            </w:r>
          </w:p>
          <w:p>
            <w:pPr>
              <w:spacing w:after="0"/>
            </w:pPr>
            <w:r>
              <w:t xml:space="preserve">for and on behalf of Bracken Group plc</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spacing w:before="60"/>
    </w:pPr>
    <w:r>
      <w:rPr>
        <w:color w:val="777777"/>
        <w:sz w:val="14"/>
        <w:szCs w:val="14"/>
      </w:rPr>
      <w:t xml:space="preserve">Project Falcon — Disclosure Letter   Whitfield Carter LLP · Confidential and may be legally privileged.</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b/>
        <w:bCs/>
        <w:color w:val="1F3864"/>
        <w:sz w:val="26"/>
        <w:szCs w:val="26"/>
      </w:rPr>
      <w:t xml:space="preserve">Whitfield Carter LLP</w:t>
    </w:r>
  </w:p>
  <w:p>
    <w:pPr>
      <w:pBdr>
        <w:bottom w:val="single" w:color="1F3864" w:sz="6" w:space="2"/>
      </w:pBdr>
      <w:spacing w:after="40"/>
      <w:jc w:val="left"/>
    </w:pPr>
    <w:r>
      <w:rPr>
        <w:color w:val="555555"/>
        <w:sz w:val="15"/>
        <w:szCs w:val="15"/>
      </w:rPr>
      <w:t xml:space="preserve">Solicitors  ·  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rPr>
        <w:b w:val="false"/>
        <w:bCs w:val="false"/>
      </w:rPr>
    </w:lvl>
    <w:lvl w:ilvl="1" w15:tentative="1">
      <w:start w:val="1"/>
      <w:numFmt w:val="decimal"/>
      <w:lvlText w:val="%1.%2"/>
      <w:lvlJc w:val="left"/>
      <w:pPr>
        <w:ind w:left="1080" w:hanging="720"/>
      </w:pPr>
    </w:lvl>
    <w:lvl w:ilvl="2" w15:tentative="1">
      <w:start w:val="1"/>
      <w:numFmt w:val="lowerLetter"/>
      <w:lvlText w:val="(%3)"/>
      <w:lvlJc w:val="left"/>
      <w:pPr>
        <w:ind w:left="1620" w:hanging="540"/>
      </w:pPr>
    </w:lvl>
    <w:lvl w:ilvl="3" w15:tentative="1">
      <w:start w:val="1"/>
      <w:numFmt w:val="lowerRoman"/>
      <w:lvlText w:val="(%4)"/>
      <w:lvlJc w:val="left"/>
      <w:pPr>
        <w:ind w:left="2160" w:hanging="540"/>
      </w:pPr>
    </w:lvl>
  </w:abstractNum>
  <w:abstractNum w:abstractNumId="3" w15:restartNumberingAfterBreak="0">
    <w:multiLevelType w:val="hybridMultilevel"/>
    <w:lvl w:ilvl="0" w15:tentative="1">
      <w:start w:val="1"/>
      <w:numFmt w:val="decimal"/>
      <w:lvlText w:val="%1."/>
      <w:lvlJc w:val="left"/>
      <w:pPr>
        <w:ind w:left="600" w:hanging="600"/>
      </w:pPr>
      <w:rPr>
        <w:b w:val="false"/>
        <w:bCs w:val="false"/>
      </w:rPr>
    </w:lvl>
    <w:lvl w:ilvl="1" w15:tentative="1">
      <w:start w:val="1"/>
      <w:numFmt w:val="decimal"/>
      <w:lvlText w:val="%1.%2"/>
      <w:lvlJc w:val="left"/>
      <w:pPr>
        <w:ind w:left="1080" w:hanging="720"/>
      </w:pPr>
    </w:lvl>
    <w:lvl w:ilvl="2" w15:tentative="1">
      <w:start w:val="1"/>
      <w:numFmt w:val="lowerLetter"/>
      <w:lvlText w:val="(%3)"/>
      <w:lvlJc w:val="left"/>
      <w:pPr>
        <w:ind w:left="1620" w:hanging="540"/>
      </w:pPr>
    </w:lvl>
    <w:lvl w:ilvl="3" w15:tentative="1">
      <w:start w:val="1"/>
      <w:numFmt w:val="lowerRoman"/>
      <w:lvlText w:val="(%4)"/>
      <w:lvlJc w:val="left"/>
      <w:pPr>
        <w:ind w:left="2160" w:hanging="540"/>
      </w:pPr>
    </w:lvl>
  </w:abstractNum>
  <w:abstractNum w:abstractNumId="4" w15:restartNumberingAfterBreak="0">
    <w:multiLevelType w:val="hybridMultilevel"/>
    <w:lvl w:ilvl="0" w15:tentative="1">
      <w:start w:val="1"/>
      <w:numFmt w:val="decimal"/>
      <w:lvlText w:val="%1."/>
      <w:lvlJc w:val="left"/>
      <w:pPr>
        <w:ind w:left="600" w:hanging="600"/>
      </w:pPr>
      <w:rPr>
        <w:b w:val="false"/>
        <w:bCs w:val="false"/>
      </w:rPr>
    </w:lvl>
    <w:lvl w:ilvl="1" w15:tentative="1">
      <w:start w:val="1"/>
      <w:numFmt w:val="decimal"/>
      <w:lvlText w:val="%1.%2"/>
      <w:lvlJc w:val="left"/>
      <w:pPr>
        <w:ind w:left="1080" w:hanging="720"/>
      </w:pPr>
    </w:lvl>
    <w:lvl w:ilvl="2" w15:tentative="1">
      <w:start w:val="1"/>
      <w:numFmt w:val="lowerLetter"/>
      <w:lvlText w:val="(%3)"/>
      <w:lvlJc w:val="left"/>
      <w:pPr>
        <w:ind w:left="1620" w:hanging="540"/>
      </w:pPr>
    </w:lvl>
    <w:lvl w:ilvl="3" w15:tentative="1">
      <w:start w:val="1"/>
      <w:numFmt w:val="lowerRoman"/>
      <w:lvlText w:val="(%4)"/>
      <w:lvlJc w:val="left"/>
      <w:pPr>
        <w:ind w:left="2160" w:hanging="54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 w:type="paragraph" w:styleId="Heading3">
    <w:name w:val="Heading 3"/>
    <w:basedOn w:val="Normal"/>
    <w:next w:val="Normal"/>
    <w:qFormat/>
    <w:pPr>
      <w:spacing w:after="80" w:before="120"/>
      <w:outlineLvl w:val="2"/>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2026-06-25T12:54:45.157Z</dcterms:created>
  <dcterms:modified xsi:type="dcterms:W3CDTF">2026-06-25T12:54:45.158Z</dcterms:modified>
</cp:coreProperties>
</file>

<file path=docProps/custom.xml><?xml version="1.0" encoding="utf-8"?>
<Properties xmlns="http://schemas.openxmlformats.org/officeDocument/2006/custom-properties" xmlns:vt="http://schemas.openxmlformats.org/officeDocument/2006/docPropsVTypes"/>
</file>