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HEADS OF TERMS</w:t>
      </w:r>
    </w:p>
    <w:p>
      <w:pPr>
        <w:spacing w:after="60"/>
        <w:jc w:val="center"/>
      </w:pPr>
      <w:r>
        <w:rPr>
          <w:sz w:val="22"/>
          <w:szCs w:val="22"/>
        </w:rPr>
        <w:t xml:space="preserve">Project Falcon — Proposed Acquisition of Greaves Precision Components Limited</w:t>
      </w:r>
    </w:p>
    <w:p>
      <w:pPr>
        <w:spacing w:after="200"/>
        <w:jc w:val="center"/>
      </w:pPr>
      <w:r>
        <w:rPr>
          <w:b/>
          <w:bCs/>
          <w:color w:val="C00000"/>
          <w:sz w:val="18"/>
          <w:szCs w:val="18"/>
        </w:rPr>
        <w:t xml:space="preserve">SUBJECT TO CONTRACT · STRICTLY PRIVATE &amp; CONFIDENTIAL</w:t>
      </w:r>
    </w:p>
    <w:p>
      <w:pPr>
        <w:spacing w:after="200"/>
        <w:jc w:val="center"/>
      </w:pPr>
      <w:r>
        <w:rPr>
          <w:b/>
          <w:bCs/>
        </w:rPr>
        <w:t xml:space="preserve">Dated 21 July 2025</w:t>
      </w:r>
    </w:p>
    <w:p>
      <w:pPr>
        <w:spacing w:after="120"/>
      </w:pPr>
      <w:r>
        <w:t xml:space="preserve">These Heads of Terms record the principal terms on which Bracken Group plc (“Buyer”) proposes to acquire the entire issued share capital of Greaves Precision Components Limited (the “Company”) from the Sellers identified below (the “Proposed Transaction”). Save for paragraphs 12 to 16 (which are intended to be legally binding), these Heads of Terms are not legally binding and are subject to contract and to satisfactory completion of due diligence.</w:t>
      </w:r>
    </w:p>
    <w:p>
      <w:pPr>
        <w:pStyle w:val="Heading2"/>
      </w:pPr>
      <w:r>
        <w:t xml:space="preserve">Commercial Terms</w:t>
      </w:r>
    </w:p>
    <w:p>
      <w:pPr>
        <w:pStyle w:val="ListParagraph"/>
        <w:numPr>
          <w:ilvl w:val="0"/>
          <w:numId w:val="2"/>
        </w:numPr>
        <w:spacing w:after="120"/>
      </w:pPr>
      <w:r>
        <w:rPr>
          <w:b/>
          <w:bCs/>
        </w:rPr>
        <w:t xml:space="preserve">Parties. </w:t>
      </w:r>
      <w:r>
        <w:t xml:space="preserve">Buyer: Bracken Group plc. Sellers: Geoffrey Greaves, Margaret Greaves, Daniel Greaves and the trustees of the Greaves Family Trust (together, the “Sellers”), who together hold the entire issued share capital of the Company.</w:t>
      </w:r>
    </w:p>
    <w:p>
      <w:pPr>
        <w:pStyle w:val="ListParagraph"/>
        <w:numPr>
          <w:ilvl w:val="0"/>
          <w:numId w:val="2"/>
        </w:numPr>
        <w:spacing w:after="120"/>
      </w:pPr>
      <w:r>
        <w:rPr>
          <w:b/>
          <w:bCs/>
        </w:rPr>
        <w:t xml:space="preserve">Structure. </w:t>
      </w:r>
      <w:r>
        <w:t xml:space="preserve">The Buyer will acquire 100% of the issued ordinary shares of the Company on a cash-free, debt-free basis assuming a normalised level of working capital, by way of a share purchase agreement (the “SPA”).</w:t>
      </w:r>
    </w:p>
    <w:p>
      <w:pPr>
        <w:pStyle w:val="ListParagraph"/>
        <w:numPr>
          <w:ilvl w:val="0"/>
          <w:numId w:val="2"/>
        </w:numPr>
        <w:spacing w:after="120"/>
      </w:pPr>
      <w:r>
        <w:rPr>
          <w:b/>
          <w:bCs/>
        </w:rPr>
        <w:t xml:space="preserve">Consideration. </w:t>
      </w:r>
      <w:r>
        <w:t xml:space="preserve">The Proposed Transaction is based on an enterprise value of £28,000,000. The headline equity consideration is £25,400,000, derived as set out in paragraph 4, payable as to: (a) £22,900,000 in cash on completion; (b) £1,500,000 retained in an escrow account for 18 months as security for warranty and indemnity claims; and (c) up to £1,000,000 deferred consideration by way of an earn-out linked to FY2026 EBITDA (paragraph 5).</w:t>
      </w:r>
    </w:p>
    <w:p>
      <w:pPr>
        <w:pStyle w:val="ListParagraph"/>
        <w:numPr>
          <w:ilvl w:val="0"/>
          <w:numId w:val="2"/>
        </w:numPr>
        <w:spacing w:after="120"/>
      </w:pPr>
      <w:r>
        <w:rPr>
          <w:b/>
          <w:bCs/>
        </w:rPr>
        <w:t xml:space="preserve">Equity bridge. </w:t>
      </w:r>
      <w:r>
        <w:t xml:space="preserve">Equity value = enterprise value (£28,000,000) less estimated net debt (£2,600,000), being £25,400,000, subject to completion accounts adjustment for actual net debt and a working capital target of £3,200,000.</w:t>
      </w:r>
    </w:p>
    <w:p>
      <w:pPr>
        <w:pStyle w:val="ListParagraph"/>
        <w:numPr>
          <w:ilvl w:val="0"/>
          <w:numId w:val="2"/>
        </w:numPr>
        <w:spacing w:after="120"/>
      </w:pPr>
      <w:r>
        <w:rPr>
          <w:b/>
          <w:bCs/>
        </w:rPr>
        <w:t xml:space="preserve">Earn-out. </w:t>
      </w:r>
      <w:r>
        <w:t xml:space="preserve">Up to £1,000,000 payable in 2027 if the Company’s audited EBITDA for the year ending 31 December 2026 equals or exceeds £4,200,000, on a sliding scale with a floor at £3,800,000 (nil) and the maximum at or above £4,200,000.</w:t>
      </w:r>
    </w:p>
    <w:p>
      <w:pPr>
        <w:pStyle w:val="ListParagraph"/>
        <w:numPr>
          <w:ilvl w:val="0"/>
          <w:numId w:val="2"/>
        </w:numPr>
        <w:spacing w:after="120"/>
      </w:pPr>
      <w:r>
        <w:rPr>
          <w:b/>
          <w:bCs/>
        </w:rPr>
        <w:t xml:space="preserve">Management. </w:t>
      </w:r>
      <w:r>
        <w:t xml:space="preserve">Daniel Greaves to remain as Managing Director for a minimum of 24 months post-completion on terms to be agreed; Geoffrey Greaves to provide a 6-month consultancy handover.</w:t>
      </w:r>
    </w:p>
    <w:p>
      <w:pPr>
        <w:pStyle w:val="ListParagraph"/>
        <w:numPr>
          <w:ilvl w:val="0"/>
          <w:numId w:val="2"/>
        </w:numPr>
        <w:spacing w:after="120"/>
      </w:pPr>
      <w:r>
        <w:rPr>
          <w:b/>
          <w:bCs/>
        </w:rPr>
        <w:t xml:space="preserve">Warranties and indemnities. </w:t>
      </w:r>
      <w:r>
        <w:t xml:space="preserve">The SPA will contain customary warranties and a tax covenant from the Sellers, with limitations on liability to be agreed (including a general cap at the equity consideration, a tax cap at the consideration, a de minimis and a basket).</w:t>
      </w:r>
    </w:p>
    <w:p>
      <w:pPr>
        <w:pStyle w:val="ListParagraph"/>
        <w:numPr>
          <w:ilvl w:val="0"/>
          <w:numId w:val="2"/>
        </w:numPr>
        <w:spacing w:after="120"/>
      </w:pPr>
      <w:r>
        <w:rPr>
          <w:b/>
          <w:bCs/>
        </w:rPr>
        <w:t xml:space="preserve">Restrictive covenants. </w:t>
      </w:r>
      <w:r>
        <w:t xml:space="preserve">The Sellers will give non-compete and non-solicitation covenants for 3 years from completion within the United Kingdom.</w:t>
      </w:r>
    </w:p>
    <w:p>
      <w:pPr>
        <w:pStyle w:val="ListParagraph"/>
        <w:numPr>
          <w:ilvl w:val="0"/>
          <w:numId w:val="2"/>
        </w:numPr>
        <w:spacing w:after="120"/>
      </w:pPr>
      <w:r>
        <w:rPr>
          <w:b/>
          <w:bCs/>
        </w:rPr>
        <w:t xml:space="preserve">Conditions. </w:t>
      </w:r>
      <w:r>
        <w:t xml:space="preserve">Completion conditional on satisfactory due diligence, board and (where required) shareholder approvals, and no material adverse change. The Parties do not consider that the Proposed Transaction is notifiable under the National Security and Investment Act 2021 but will keep this under review.</w:t>
      </w:r>
    </w:p>
    <w:p>
      <w:pPr>
        <w:pStyle w:val="ListParagraph"/>
        <w:numPr>
          <w:ilvl w:val="0"/>
          <w:numId w:val="2"/>
        </w:numPr>
        <w:spacing w:after="120"/>
      </w:pPr>
      <w:r>
        <w:rPr>
          <w:b/>
          <w:bCs/>
        </w:rPr>
        <w:t xml:space="preserve">Timetable. </w:t>
      </w:r>
      <w:r>
        <w:t xml:space="preserve">The Parties aim to exchange and complete the SPA by 10 October 2025.</w:t>
      </w:r>
    </w:p>
    <w:p>
      <w:pPr>
        <w:pStyle w:val="ListParagraph"/>
        <w:numPr>
          <w:ilvl w:val="0"/>
          <w:numId w:val="2"/>
        </w:numPr>
        <w:spacing w:after="120"/>
      </w:pPr>
      <w:r>
        <w:rPr>
          <w:b/>
          <w:bCs/>
        </w:rPr>
        <w:t xml:space="preserve">Advisers. </w:t>
      </w:r>
      <w:r>
        <w:t xml:space="preserve">Buyer’s solicitors: Whitfield Carter LLP. Sellers’ solicitors: Castle &amp; Vane LLP. Buyer’s financial due diligence: to be appointed.</w:t>
      </w:r>
    </w:p>
    <w:p>
      <w:pPr>
        <w:pStyle w:val="Heading2"/>
      </w:pPr>
      <w:r>
        <w:t xml:space="preserve">Binding Provisions</w:t>
      </w:r>
    </w:p>
    <w:p>
      <w:pPr>
        <w:pStyle w:val="ListParagraph"/>
        <w:numPr>
          <w:ilvl w:val="0"/>
          <w:numId w:val="2"/>
        </w:numPr>
        <w:spacing w:after="120"/>
      </w:pPr>
      <w:r>
        <w:rPr>
          <w:b/>
          <w:bCs/>
        </w:rPr>
        <w:t xml:space="preserve">Exclusivity. </w:t>
      </w:r>
      <w:r>
        <w:t xml:space="preserve">For the period from the date of these Heads of Terms to 31 October 2025 (the “Exclusivity Period”), the Sellers shall not, and shall procure that the Company and their advisers shall not, solicit, encourage or enter into any discussions with any third party in relation to a sale of the Company or its business.</w:t>
      </w:r>
    </w:p>
    <w:p>
      <w:pPr>
        <w:pStyle w:val="ListParagraph"/>
        <w:numPr>
          <w:ilvl w:val="0"/>
          <w:numId w:val="2"/>
        </w:numPr>
        <w:spacing w:after="120"/>
      </w:pPr>
      <w:r>
        <w:rPr>
          <w:b/>
          <w:bCs/>
        </w:rPr>
        <w:t xml:space="preserve">Costs. </w:t>
      </w:r>
      <w:r>
        <w:t xml:space="preserve">Each Party shall bear its own costs in connection with the Proposed Transaction.</w:t>
      </w:r>
    </w:p>
    <w:p>
      <w:pPr>
        <w:pStyle w:val="ListParagraph"/>
        <w:numPr>
          <w:ilvl w:val="0"/>
          <w:numId w:val="2"/>
        </w:numPr>
        <w:spacing w:after="120"/>
      </w:pPr>
      <w:r>
        <w:rPr>
          <w:b/>
          <w:bCs/>
        </w:rPr>
        <w:t xml:space="preserve">Confidentiality. </w:t>
      </w:r>
      <w:r>
        <w:t xml:space="preserve">The Parties shall keep the existence and terms of the Proposed Transaction confidential in accordance with the mutual non-disclosure agreement dated 30 June 2025.</w:t>
      </w:r>
    </w:p>
    <w:p>
      <w:pPr>
        <w:pStyle w:val="ListParagraph"/>
        <w:numPr>
          <w:ilvl w:val="0"/>
          <w:numId w:val="2"/>
        </w:numPr>
        <w:spacing w:after="120"/>
      </w:pPr>
      <w:r>
        <w:rPr>
          <w:b/>
          <w:bCs/>
        </w:rPr>
        <w:t xml:space="preserve">Governing law. </w:t>
      </w:r>
      <w:r>
        <w:t xml:space="preserve">Paragraphs 12 to 16 and any dispute arising out of them are governed by English law and subject to the exclusive jurisdiction of the courts of England and Wales.</w:t>
      </w:r>
    </w:p>
    <w:p>
      <w:pPr>
        <w:pStyle w:val="ListParagraph"/>
        <w:numPr>
          <w:ilvl w:val="0"/>
          <w:numId w:val="2"/>
        </w:numPr>
        <w:spacing w:after="120"/>
      </w:pPr>
      <w:r>
        <w:rPr>
          <w:b/>
          <w:bCs/>
        </w:rPr>
        <w:t xml:space="preserve">Status. </w:t>
      </w:r>
      <w:r>
        <w:t xml:space="preserve">Save for paragraphs 12 to 16, these Heads of Terms are not intended to create legally binding obligations and are subject to contract.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For and on behalf of</w:t>
            </w:r>
          </w:p>
          <w:p>
            <w:pPr>
              <w:spacing w:after="0"/>
            </w:pPr>
            <w:r>
              <w:t xml:space="preserve">BRACKEN GROUP PLC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For and on behalf of the SELLERS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
            </w:r>
          </w:p>
          <w:p>
            <w:pPr>
              <w:spacing w:after="0"/>
            </w:pPr>
            <w:r>
              <w:rPr>
                <w:b w:val="false"/>
                <w:bCs w:val="false"/>
              </w:rPr>
              <w:t xml:space="preserve">.................................</w:t>
            </w:r>
          </w:p>
          <w:p>
            <w:pPr>
              <w:spacing w:after="0"/>
            </w:pPr>
            <w:r>
              <w:rPr>
                <w:b w:val="false"/>
                <w:bCs w:val="false"/>
              </w:rPr>
              <w:t xml:space="preserve">Mark Ferris</w:t>
            </w:r>
          </w:p>
          <w:p>
            <w:pPr>
              <w:spacing w:after="0"/>
            </w:pPr>
            <w:r>
              <w:rPr>
                <w:b w:val="false"/>
                <w:bCs w:val="false"/>
              </w:rPr>
              <w:t xml:space="preserve">Head of M&amp;A</w:t>
            </w:r>
          </w:p>
          <w:p>
            <w:pPr>
              <w:spacing w:after="0"/>
            </w:pPr>
            <w:r>
              <w:rPr>
                <w:b w:val="false"/>
                <w:bCs w:val="false"/>
              </w:rPr>
              <w:t xml:space="preserve">21 July 2025</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
            </w:r>
          </w:p>
          <w:p>
            <w:pPr>
              <w:spacing w:after="0"/>
            </w:pPr>
            <w:r>
              <w:rPr>
                <w:b w:val="false"/>
                <w:bCs w:val="false"/>
              </w:rPr>
              <w:t xml:space="preserve">.................................</w:t>
            </w:r>
          </w:p>
          <w:p>
            <w:pPr>
              <w:spacing w:after="0"/>
            </w:pPr>
            <w:r>
              <w:rPr>
                <w:b w:val="false"/>
                <w:bCs w:val="false"/>
              </w:rPr>
              <w:t xml:space="preserve">Geoffrey Greaves</w:t>
            </w:r>
          </w:p>
          <w:p>
            <w:pPr>
              <w:spacing w:after="0"/>
            </w:pPr>
            <w:r>
              <w:rPr>
                <w:b w:val="false"/>
                <w:bCs w:val="false"/>
              </w:rPr>
              <w:t xml:space="preserve">(for and on behalf of the Sellers)</w:t>
            </w:r>
          </w:p>
          <w:p>
            <w:pPr>
              <w:spacing w:after="0"/>
            </w:pPr>
            <w:r>
              <w:rPr>
                <w:b w:val="false"/>
                <w:bCs w:val="false"/>
              </w:rPr>
              <w:t xml:space="preserve">21 July 2025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before="60"/>
    </w:pPr>
    <w:r>
      <w:rPr>
        <w:color w:val="777777"/>
        <w:sz w:val="14"/>
        <w:szCs w:val="14"/>
      </w:rPr>
      <w:t xml:space="preserve">Whitfield Carter LLP ·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40"/>
      <w:jc w:val="left"/>
    </w:pPr>
    <w:r>
      <w:rPr>
        <w:color w:val="555555"/>
        <w:sz w:val="15"/>
        <w:szCs w:val="15"/>
      </w:rPr>
      <w:t xml:space="preserve">Solicitors  ·  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val="false"/>
        <w:bCs w:val="false"/>
      </w:rPr>
    </w:lvl>
    <w:lvl w:ilvl="1" w15:tentative="1">
      <w:start w:val="1"/>
      <w:numFmt w:val="decimal"/>
      <w:lvlText w:val="%1.%2"/>
      <w:lvlJc w:val="left"/>
      <w:pPr>
        <w:ind w:left="1080" w:hanging="720"/>
      </w:pPr>
    </w:lvl>
    <w:lvl w:ilvl="2" w15:tentative="1">
      <w:start w:val="1"/>
      <w:numFmt w:val="lowerLetter"/>
      <w:lvlText w:val="(%3)"/>
      <w:lvlJc w:val="left"/>
      <w:pPr>
        <w:ind w:left="1620" w:hanging="540"/>
      </w:pPr>
    </w:lvl>
    <w:lvl w:ilvl="3" w15:tentative="1">
      <w:start w:val="1"/>
      <w:numFmt w:val="lowerRoman"/>
      <w:lvlText w:val="(%4)"/>
      <w:lvlJc w:val="left"/>
      <w:pPr>
        <w:ind w:left="2160" w:hanging="54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20"/>
      <w:outlineLvl w:val="2"/>
    </w:pPr>
    <w:rPr>
      <w:rFonts w:ascii="Arial" w:cs="Arial" w:eastAsia="Arial" w:hAnsi="Arial"/>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2026-06-25T12:48:29.735Z</dcterms:created>
  <dcterms:modified xsi:type="dcterms:W3CDTF">2026-06-25T12:48:29.735Z</dcterms:modified>
</cp:coreProperties>
</file>

<file path=docProps/custom.xml><?xml version="1.0" encoding="utf-8"?>
<Properties xmlns="http://schemas.openxmlformats.org/officeDocument/2006/custom-properties" xmlns:vt="http://schemas.openxmlformats.org/officeDocument/2006/docPropsVTypes"/>
</file>