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b/>
          <w:bCs/>
        </w:rPr>
        <w:t xml:space="preserve">IN THE HIGH COURT OF JUSTICE</w:t>
      </w:r>
    </w:p>
    <w:p>
      <w:pPr>
        <w:spacing w:after="120" w:line="276"/>
      </w:pPr>
      <w:r>
        <w:t xml:space="preserve">BUSINESS AND PROPERTY COURTS OF ENGLAND AND WALES</w:t>
      </w:r>
    </w:p>
    <w:p>
      <w:pPr>
        <w:spacing w:after="120" w:line="276"/>
      </w:pPr>
      <w:r>
        <w:t xml:space="preserve">COMMERCIAL COURT (KBD)</w:t>
      </w:r>
    </w:p>
    <w:p>
      <w:pPr>
        <w:spacing w:after="160" w:line="276"/>
        <w:jc w:val="right"/>
      </w:pPr>
      <w:r>
        <w:t xml:space="preserve">Claim No. CL-2026-000148</w:t>
      </w:r>
    </w:p>
    <w:p>
      <w:pPr>
        <w:spacing w:after="120" w:line="276"/>
      </w:pPr>
      <w:r>
        <w:t xml:space="preserve">B E T W E E N:</w:t>
      </w:r>
    </w:p>
    <w:p>
      <w:pPr>
        <w:spacing w:after="0" w:line="276"/>
        <w:jc w:val="center"/>
      </w:pPr>
      <w:r>
        <w:rPr>
          <w:b/>
          <w:bCs/>
        </w:rPr>
        <w:t xml:space="preserve">BRIGHTWATER ANALYTICS LIMITED</w:t>
      </w:r>
    </w:p>
    <w:p>
      <w:pPr>
        <w:spacing w:after="60" w:line="276"/>
        <w:jc w:val="right"/>
      </w:pPr>
      <w:r>
        <w:rPr>
          <w:i/>
          <w:iCs/>
        </w:rPr>
        <w:t xml:space="preserve">Claimant</w:t>
      </w:r>
    </w:p>
    <w:p>
      <w:pPr>
        <w:spacing w:after="0" w:line="276"/>
        <w:jc w:val="center"/>
      </w:pPr>
      <w:r>
        <w:t xml:space="preserve">and</w:t>
      </w:r>
    </w:p>
    <w:p>
      <w:pPr>
        <w:spacing w:after="0" w:line="276"/>
        <w:jc w:val="center"/>
      </w:pPr>
      <w:r>
        <w:rPr>
          <w:b/>
          <w:bCs/>
        </w:rPr>
        <w:t xml:space="preserve">CALDERVALE UNDERWRITING LIMITED</w:t>
      </w:r>
    </w:p>
    <w:p>
      <w:pPr>
        <w:spacing w:after="160" w:line="276"/>
        <w:jc w:val="right"/>
      </w:pPr>
      <w:r>
        <w:rPr>
          <w:i/>
          <w:iCs/>
        </w:rPr>
        <w:t xml:space="preserve">Defendant</w:t>
      </w:r>
    </w:p>
    <w:p>
      <w:pPr>
        <w:spacing w:after="200" w:line="276"/>
        <w:jc w:val="center"/>
      </w:pPr>
      <w:r>
        <w:rPr>
          <w:b/>
          <w:bCs/>
        </w:rPr>
        <w:t xml:space="preserve">DEFENCE</w:t>
      </w:r>
    </w:p>
    <w:p>
      <w:pPr>
        <w:pStyle w:val="ListParagraph"/>
        <w:numPr>
          <w:ilvl w:val="0"/>
          <w:numId w:val="2"/>
        </w:numPr>
        <w:spacing w:after="120" w:line="276"/>
      </w:pPr>
      <w:r>
        <w:t xml:space="preserve">Save where expressly admitted, the Defendant denies each allegation in the Particulars of Claim as if set out and traversed individually.</w:t>
      </w:r>
    </w:p>
    <w:p>
      <w:pPr>
        <w:pStyle w:val="ListParagraph"/>
        <w:numPr>
          <w:ilvl w:val="0"/>
          <w:numId w:val="2"/>
        </w:numPr>
        <w:spacing w:after="120" w:line="276"/>
      </w:pPr>
      <w:r>
        <w:t xml:space="preserve">Paragraphs 1 to 2 are admitted. It is admitted that the Agreement was made on the terms there pleaded and for a three-year term.</w:t>
      </w:r>
    </w:p>
    <w:p>
      <w:pPr>
        <w:pStyle w:val="ListParagraph"/>
        <w:numPr>
          <w:ilvl w:val="0"/>
          <w:numId w:val="2"/>
        </w:numPr>
        <w:spacing w:after="120" w:line="276"/>
      </w:pPr>
      <w:r>
        <w:t xml:space="preserve">Paragraph 4 is admitted as to the terms pleaded. The Defendant avers that clause 11 and Schedule 4 were conditions of the Agreement, alternatively terms breach of which entitled the Defendant to terminate, and that the availability warranty is to be read together with the Critical Incident provisions of paragraph 6 of Schedule 4.</w:t>
      </w:r>
    </w:p>
    <w:p>
      <w:pPr>
        <w:pStyle w:val="ListParagraph"/>
        <w:numPr>
          <w:ilvl w:val="0"/>
          <w:numId w:val="2"/>
        </w:numPr>
        <w:spacing w:after="120" w:line="276"/>
      </w:pPr>
      <w:r>
        <w:t xml:space="preserve">As to paragraph 5, it is admitted that Mr Aldous signed the Acceptance Certificate on 11 September 2024. It is denied that acceptance precluded the Defendant from relying on subsequent failures of the Platform to meet the Service Levels.</w:t>
      </w:r>
    </w:p>
    <w:p>
      <w:pPr>
        <w:pStyle w:val="ListParagraph"/>
        <w:numPr>
          <w:ilvl w:val="0"/>
          <w:numId w:val="2"/>
        </w:numPr>
        <w:spacing w:after="120" w:line="276"/>
      </w:pPr>
      <w:r>
        <w:t xml:space="preserve">Paragraph 6 is admitted as to the sums paid. It is admitted that Milestone 2 was invoiced on 12 September 2024 and has not been paid. The Defendant avers that it was entitled to withhold payment by reason of the Claimant’s breaches and pursuant to the set-off pleaded below.</w:t>
      </w:r>
    </w:p>
    <w:p>
      <w:pPr>
        <w:pStyle w:val="ListParagraph"/>
        <w:numPr>
          <w:ilvl w:val="0"/>
          <w:numId w:val="2"/>
        </w:numPr>
        <w:spacing w:after="120" w:line="276"/>
      </w:pPr>
      <w:r>
        <w:t xml:space="preserve">Paragraph 7 is denied. From in or about February 2025 the Platform suffered repeated failures to meet the 99.5% availability Service Level. In particular:</w:t>
      </w:r>
    </w:p>
    <w:p>
      <w:pPr>
        <w:pStyle w:val="ListParagraph"/>
        <w:numPr>
          <w:ilvl w:val="1"/>
          <w:numId w:val="2"/>
        </w:numPr>
        <w:spacing w:after="120" w:line="276"/>
      </w:pPr>
      <w:r>
        <w:t xml:space="preserve">in March 2025 availability was 98.1%;</w:t>
      </w:r>
    </w:p>
    <w:p>
      <w:pPr>
        <w:pStyle w:val="ListParagraph"/>
        <w:numPr>
          <w:ilvl w:val="1"/>
          <w:numId w:val="2"/>
        </w:numPr>
        <w:spacing w:after="120" w:line="276"/>
      </w:pPr>
      <w:r>
        <w:t xml:space="preserve">in June 2025 availability was 97.4%, including an unplanned outage of some 9 hours on 14 June 2025; and</w:t>
      </w:r>
    </w:p>
    <w:p>
      <w:pPr>
        <w:pStyle w:val="ListParagraph"/>
        <w:numPr>
          <w:ilvl w:val="1"/>
          <w:numId w:val="2"/>
        </w:numPr>
        <w:spacing w:after="120" w:line="276"/>
      </w:pPr>
      <w:r>
        <w:t xml:space="preserve">in September 2025 availability was 98.6%.</w:t>
      </w:r>
    </w:p>
    <w:p>
      <w:pPr>
        <w:pStyle w:val="ListParagraph"/>
        <w:numPr>
          <w:ilvl w:val="0"/>
          <w:numId w:val="2"/>
        </w:numPr>
        <w:spacing w:after="120" w:line="276"/>
      </w:pPr>
      <w:r>
        <w:t xml:space="preserve">The Defendant notified the Claimant of these failures by emails dated 18 March, 16 June and 30 September 2025. The failures were persistent and material. By its letter of 17 October 2025 the Defendant lawfully terminated the Agreement under clause 16.3.</w:t>
      </w:r>
    </w:p>
    <w:p>
      <w:pPr>
        <w:pStyle w:val="ListParagraph"/>
        <w:numPr>
          <w:ilvl w:val="0"/>
          <w:numId w:val="2"/>
        </w:numPr>
        <w:spacing w:after="120" w:line="276"/>
      </w:pPr>
      <w:r>
        <w:t xml:space="preserve">In the premises it is denied that the termination was wrongful or repudiatory. Paragraphs 8 to 11 are denied.</w:t>
      </w:r>
    </w:p>
    <w:p>
      <w:pPr>
        <w:pStyle w:val="ListParagraph"/>
        <w:numPr>
          <w:ilvl w:val="0"/>
          <w:numId w:val="2"/>
        </w:numPr>
        <w:spacing w:after="120" w:line="276"/>
      </w:pPr>
      <w:r>
        <w:t xml:space="preserve">As to loss, it is denied that the Claimant is entitled to the Milestone 2 fee or to damages for the balance of the Term. If, which is denied, any sum is due, the Defendant will set off the cost it incurred in procuring replacement analytics services from a third party, being not less than £160,000.</w:t>
      </w:r>
    </w:p>
    <w:p>
      <w:pPr>
        <w:pStyle w:val="ListParagraph"/>
        <w:numPr>
          <w:ilvl w:val="0"/>
          <w:numId w:val="2"/>
        </w:numPr>
        <w:spacing w:after="120" w:line="276"/>
      </w:pPr>
      <w:r>
        <w:t xml:space="preserve">Save as expressly admitted, each and every allegation in the Particulars of Claim is denied.</w:t>
      </w:r>
    </w:p>
    <w:p>
      <w:pPr>
        <w:spacing w:after="0" w:before="200" w:line="276"/>
      </w:pPr>
      <w:r>
        <w:rPr>
          <w:b/>
          <w:bCs/>
        </w:rPr>
        <w:t xml:space="preserve">OLIVER JENNINGS</w:t>
      </w:r>
    </w:p>
    <w:p>
      <w:pPr>
        <w:spacing w:after="200" w:line="276"/>
      </w:pPr>
      <w:r>
        <w:t xml:space="preserve">(instructed by Birchall Stone LLP for the Defendant)</w:t>
      </w:r>
    </w:p>
    <w:p>
      <w:pPr>
        <w:spacing w:after="60" w:line="276"/>
      </w:pPr>
      <w:r>
        <w:rPr>
          <w:b/>
          <w:bCs/>
        </w:rPr>
        <w:t xml:space="preserve">Statement of Truth</w:t>
      </w:r>
    </w:p>
    <w:p>
      <w:pPr>
        <w:spacing w:after="120" w:line="276"/>
      </w:pPr>
      <w:r>
        <w:t xml:space="preserve">The Defendant believes that the facts stated in this Defence are true.</w:t>
      </w:r>
    </w:p>
    <w:p>
      <w:pPr>
        <w:spacing w:after="0" w:line="276"/>
      </w:pPr>
      <w:r>
        <w:t xml:space="preserve">Signed: ……………  Gerald Maddox, Chief Operating Officer, Caldervale Underwriting Limited</w:t>
      </w:r>
    </w:p>
    <w:p>
      <w:pPr>
        <w:spacing w:after="120" w:line="276"/>
      </w:pPr>
      <w:r>
        <w:t xml:space="preserve">Dated: 13 February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4"/>
        <w:szCs w:val="14"/>
      </w:rPr>
      <w:t xml:space="preserve">Defence</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4"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5"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6"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7"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8"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2026-06-27T22:57:08.366Z</dcterms:created>
  <dcterms:modified xsi:type="dcterms:W3CDTF">2026-06-27T22:57:08.366Z</dcterms:modified>
</cp:coreProperties>
</file>

<file path=docProps/custom.xml><?xml version="1.0" encoding="utf-8"?>
<Properties xmlns="http://schemas.openxmlformats.org/officeDocument/2006/custom-properties" xmlns:vt="http://schemas.openxmlformats.org/officeDocument/2006/docPropsVTypes"/>
</file>