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t xml:space="preserve">3 November 2025</w:t>
      </w:r>
    </w:p>
    <w:p>
      <w:pPr>
        <w:spacing w:after="60" w:line="276"/>
      </w:pPr>
      <w:r>
        <w:rPr>
          <w:b/>
          <w:bCs/>
        </w:rPr>
        <w:t xml:space="preserve">Strictly private and confidential</w:t>
      </w:r>
    </w:p>
    <w:p>
      <w:pPr>
        <w:spacing w:after="120" w:line="276"/>
      </w:pPr>
      <w:r>
        <w:t xml:space="preserve">Ms Nadia Forsyth</w:t>
      </w:r>
    </w:p>
    <w:p>
      <w:pPr>
        <w:spacing w:after="120" w:line="276"/>
      </w:pPr>
      <w:r>
        <w:t xml:space="preserve">Chief Executive Officer</w:t>
      </w:r>
    </w:p>
    <w:p>
      <w:pPr>
        <w:spacing w:after="120" w:line="276"/>
      </w:pPr>
      <w:r>
        <w:t xml:space="preserve">Brightwater Analytics Limited</w:t>
      </w:r>
    </w:p>
    <w:p>
      <w:pPr>
        <w:spacing w:after="200" w:line="276"/>
      </w:pPr>
      <w:r>
        <w:t xml:space="preserve">Kerne House, 14 Albion Wharf, Manchester M3 4NU</w:t>
      </w:r>
    </w:p>
    <w:p>
      <w:pPr>
        <w:spacing w:after="160" w:line="276"/>
      </w:pPr>
      <w:r>
        <w:t xml:space="preserve">Dear Nadia</w:t>
      </w:r>
    </w:p>
    <w:p>
      <w:pPr>
        <w:spacing w:after="160" w:line="276"/>
      </w:pPr>
      <w:r>
        <w:rPr>
          <w:b/>
          <w:bCs/>
        </w:rPr>
        <w:t xml:space="preserve">Brightwater Analytics Limited — dispute with Caldervale Underwriting Limited (the “Polaris Agreement”)</w:t>
      </w:r>
    </w:p>
    <w:p>
      <w:pPr>
        <w:spacing w:after="120" w:line="276"/>
      </w:pPr>
      <w:r>
        <w:t xml:space="preserve">Thank you for instructing Whitfield Carter LLP in connection with the dispute that has arisen between Brightwater Analytics Limited (“Brightwater”, “you”) and Caldervale Underwriting Limited (“Caldervale”) following Caldervale’s purported termination on 17 October 2025 of the Master Subscription and Implementation Agreement dated 2 May 2024 (the “Polaris Agreement”). This letter sets out the basis on which we will act for you.</w:t>
      </w:r>
    </w:p>
    <w:p>
      <w:pPr>
        <w:pStyle w:val="Heading2"/>
      </w:pPr>
      <w:r>
        <w:t xml:space="preserve">1. Scope of our engagement</w:t>
      </w:r>
    </w:p>
    <w:p>
      <w:pPr>
        <w:spacing w:after="120" w:line="276"/>
      </w:pPr>
      <w:r>
        <w:t xml:space="preserve">We are instructed to advise on and pursue Brightwater’s claims against Caldervale for the unpaid Milestone 2 implementation fee and the licence fees that would have fallen due over the remainder of the three-year term, together with interest and costs. Our retainer covers pre-action correspondence under the Practice Direction on Pre-Action Conduct, the issue and conduct of proceedings in the Business and Property Courts if matters cannot be resolved, and any alternative dispute resolution that may be appropriate.</w:t>
      </w:r>
    </w:p>
    <w:p>
      <w:pPr>
        <w:pStyle w:val="Heading2"/>
      </w:pPr>
      <w:r>
        <w:t xml:space="preserve">2. The team</w:t>
      </w:r>
    </w:p>
    <w:p>
      <w:pPr>
        <w:spacing w:after="120" w:line="276"/>
      </w:pPr>
      <w:r>
        <w:t xml:space="preserve">Tom Gallagher (Associate) will have day-to-day conduct of the matter and will be your principal point of contact. I will supervise as the responsible partner. James Osei (Senior Associate) will assist on the contractual analysis. Where the value and complexity of the matter justify it, we will instruct counsel from Eldon Chambers; we have provisionally identified Harriet Stanford as appropriate junior counsel.</w:t>
      </w:r>
    </w:p>
    <w:p>
      <w:pPr>
        <w:pStyle w:val="Heading2"/>
      </w:pPr>
      <w:r>
        <w:t xml:space="preserve">3. Fees</w:t>
      </w:r>
    </w:p>
    <w:p>
      <w:pPr>
        <w:spacing w:after="120" w:line="276"/>
      </w:pPr>
      <w:r>
        <w:t xml:space="preserve">Our charges are based on the time spent on your matter at the following hourly rates (exclusive of VAT): Partner — £650; Senior Associate — £445; Associate — £360. We estimate that costs to the conclusion of the pre-action phase, including a Letter before Action and review of any response, will be in the region of £18,000 to £25,000 plus VAT and disbursements. We will provide a further estimate before proceedings are issued. Counsel’s fees and court fees are disbursements charged in addition.</w:t>
      </w:r>
    </w:p>
    <w:p>
      <w:pPr>
        <w:pStyle w:val="Heading2"/>
      </w:pPr>
      <w:r>
        <w:t xml:space="preserve">4. The merits, in outline</w:t>
      </w:r>
    </w:p>
    <w:p>
      <w:pPr>
        <w:spacing w:after="120" w:line="276"/>
      </w:pPr>
      <w:r>
        <w:t xml:space="preserve">On the information presently available, our preliminary view is that Caldervale’s termination is likely to constitute a wrongful repudiation of the Polaris Agreement. The contractual figures are not in dispute: an annual licence fee of £420,000, a fixed implementation fee of £180,000 payable in two equal milestones of £90,000, and a committed three-year term. Year 1 licence fees and Milestone 1 were paid. Our task is to establish that the platform met the agreed acceptance criteria and that Caldervale had no contractual right to terminate.</w:t>
      </w:r>
    </w:p>
    <w:p>
      <w:pPr>
        <w:pStyle w:val="Heading2"/>
      </w:pPr>
      <w:r>
        <w:t xml:space="preserve">5. Funding, complaints and terms of business</w:t>
      </w:r>
    </w:p>
    <w:p>
      <w:pPr>
        <w:spacing w:after="120" w:line="276"/>
      </w:pPr>
      <w:r>
        <w:t xml:space="preserve">Our standard Terms of Business are enclosed and form part of our agreement with you. Please raise any query on them with me. If you are unhappy with any aspect of our service you may invoke our complaints procedure, a copy of which is available on request, and ultimately complain to the Legal Ombudsman.</w:t>
      </w:r>
    </w:p>
    <w:p>
      <w:pPr>
        <w:spacing w:after="200" w:line="276"/>
      </w:pPr>
      <w:r>
        <w:t xml:space="preserve">Please confirm your agreement to these terms by signing and returning the enclosed copy. We are very glad to be acting for you on this matter.</w:t>
      </w:r>
    </w:p>
    <w:p>
      <w:pPr>
        <w:spacing w:after="320" w:line="276"/>
      </w:pPr>
      <w:r>
        <w:t xml:space="preserve">Yours sincerely</w:t>
      </w:r>
    </w:p>
    <w:p>
      <w:pPr>
        <w:spacing w:after="0" w:line="276"/>
      </w:pPr>
      <w:r>
        <w:rPr>
          <w:b/>
          <w:bCs/>
        </w:rPr>
        <w:t xml:space="preserve">Sarah Whitfield</w:t>
      </w:r>
    </w:p>
    <w:p>
      <w:pPr>
        <w:spacing w:after="0" w:line="276"/>
      </w:pPr>
      <w:r>
        <w:t xml:space="preserve">Partner</w:t>
      </w:r>
    </w:p>
    <w:p>
      <w:pPr>
        <w:spacing w:after="120" w:line="276"/>
      </w:pPr>
      <w:r>
        <w:t xml:space="preserve">For and on behalf of 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360"/>
      </w:tabs>
    </w:pPr>
    <w:r>
      <w:rPr>
        <w:color w:val="808080"/>
        <w:sz w:val="14"/>
        <w:szCs w:val="14"/>
      </w:rPr>
      <w:t xml:space="preserve">Whitfield Carter LLP is a limited liability partnership registered in England &amp; Wales.</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26"/>
        <w:szCs w:val="26"/>
      </w:rPr>
      <w:t xml:space="preserve">Whitfield Carter LLP</w:t>
    </w:r>
  </w:p>
  <w:p>
    <w:pPr>
      <w:pBdr>
        <w:bottom w:val="single" w:color="1F3864" w:sz="6" w:space="2"/>
      </w:pBdr>
      <w:spacing w:after="60"/>
    </w:pPr>
    <w:r>
      <w:rPr>
        <w:color w:val="595959"/>
        <w:sz w:val="16"/>
        <w:szCs w:val="16"/>
      </w:rPr>
      <w:t xml:space="preserve">22 Bishopsgate, London EC2N 4BQ  ·  +44 (0)20 7946 1100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4"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5"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6"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7"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8"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2026-06-27T22:57:08.268Z</dcterms:created>
  <dcterms:modified xsi:type="dcterms:W3CDTF">2026-06-27T22:57:08.269Z</dcterms:modified>
</cp:coreProperties>
</file>

<file path=docProps/custom.xml><?xml version="1.0" encoding="utf-8"?>
<Properties xmlns="http://schemas.openxmlformats.org/officeDocument/2006/custom-properties" xmlns:vt="http://schemas.openxmlformats.org/officeDocument/2006/docPropsVTypes"/>
</file>