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t xml:space="preserve">14 November 2025</w:t>
      </w:r>
    </w:p>
    <w:p>
      <w:pPr>
        <w:spacing w:after="60" w:line="276"/>
      </w:pPr>
      <w:r>
        <w:rPr>
          <w:b/>
          <w:bCs/>
        </w:rPr>
        <w:t xml:space="preserve">BY EMAIL AND BY POST</w:t>
      </w:r>
    </w:p>
    <w:p>
      <w:pPr>
        <w:spacing w:after="120" w:line="276"/>
      </w:pPr>
      <w:r>
        <w:t xml:space="preserve">The Directors</w:t>
      </w:r>
    </w:p>
    <w:p>
      <w:pPr>
        <w:spacing w:after="120" w:line="276"/>
      </w:pPr>
      <w:r>
        <w:t xml:space="preserve">Caldervale Underwriting Limited</w:t>
      </w:r>
    </w:p>
    <w:p>
      <w:pPr>
        <w:spacing w:after="160" w:line="276"/>
      </w:pPr>
      <w:r>
        <w:t xml:space="preserve">Caldervale House, 5 Calder Street, Leeds LS1 4PT</w:t>
      </w:r>
    </w:p>
    <w:p>
      <w:pPr>
        <w:spacing w:after="160" w:line="276"/>
      </w:pPr>
      <w:r>
        <w:t xml:space="preserve">Our ref: TG/BWA/0159     Your ref: —</w:t>
      </w:r>
    </w:p>
    <w:p>
      <w:pPr>
        <w:spacing w:after="120" w:line="276"/>
      </w:pPr>
      <w:r>
        <w:t xml:space="preserve">Dear Sirs</w:t>
      </w:r>
    </w:p>
    <w:p>
      <w:pPr>
        <w:spacing w:after="60" w:line="276"/>
        <w:jc w:val="center"/>
      </w:pPr>
      <w:r>
        <w:rPr>
          <w:b/>
          <w:bCs/>
        </w:rPr>
        <w:t xml:space="preserve">LETTER BEFORE ACTION</w:t>
      </w:r>
    </w:p>
    <w:p>
      <w:pPr>
        <w:spacing w:after="60" w:line="276"/>
        <w:jc w:val="center"/>
      </w:pPr>
      <w:r>
        <w:rPr>
          <w:b/>
          <w:bCs/>
        </w:rPr>
        <w:t xml:space="preserve">Brightwater Analytics Limited v Caldervale Underwriting Limited</w:t>
      </w:r>
    </w:p>
    <w:p>
      <w:pPr>
        <w:spacing w:after="200" w:line="276"/>
        <w:jc w:val="center"/>
      </w:pPr>
      <w:r>
        <w:rPr>
          <w:i/>
          <w:iCs/>
        </w:rPr>
        <w:t xml:space="preserve">Master Subscription and Implementation Agreement dated 2 May 2024 (the “Polaris Agreement”)</w:t>
      </w:r>
    </w:p>
    <w:p>
      <w:pPr>
        <w:spacing w:after="120" w:line="276"/>
      </w:pPr>
      <w:r>
        <w:t xml:space="preserve">We act for Brightwater Analytics Limited (“our client”). This letter is a Letter before Action sent in accordance with the Practice Direction on Pre-Action Conduct and Protocols. It sets out our client’s claim arising from your wrongful termination of the Polaris Agreement and your failure to pay sums properly due under it.</w:t>
      </w:r>
    </w:p>
    <w:p>
      <w:pPr>
        <w:pStyle w:val="Heading2"/>
      </w:pPr>
      <w:r>
        <w:t xml:space="preserve">The Agreement</w:t>
      </w:r>
    </w:p>
    <w:p>
      <w:pPr>
        <w:pStyle w:val="ListParagraph"/>
        <w:numPr>
          <w:ilvl w:val="0"/>
          <w:numId w:val="2"/>
        </w:numPr>
        <w:spacing w:after="120" w:line="276"/>
      </w:pPr>
      <w:r>
        <w:t xml:space="preserve">By the Polaris Agreement, our client agreed to grant your company a subscription to its Brightwater Claims Intelligence platform and to deliver an implementation project, for a committed term of three years from the Effective Date of 2 May 2024.</w:t>
      </w:r>
    </w:p>
    <w:p>
      <w:pPr>
        <w:pStyle w:val="ListParagraph"/>
        <w:numPr>
          <w:ilvl w:val="0"/>
          <w:numId w:val="2"/>
        </w:numPr>
        <w:spacing w:after="120" w:line="276"/>
      </w:pPr>
      <w:r>
        <w:t xml:space="preserve">The agreed charges were: (a) an annual licence fee of £420,000, payable annually in advance; and (b) a fixed implementation fee of £180,000, payable in two milestones of £90,000 — Milestone 1 on signature and Milestone 2 on Go-Live Acceptance.</w:t>
      </w:r>
    </w:p>
    <w:p>
      <w:pPr>
        <w:pStyle w:val="ListParagraph"/>
        <w:numPr>
          <w:ilvl w:val="0"/>
          <w:numId w:val="2"/>
        </w:numPr>
        <w:spacing w:after="120" w:line="276"/>
      </w:pPr>
      <w:r>
        <w:t xml:space="preserve">Your company paid the Year 1 licence fee of £420,000 and Milestone 1 of £90,000. Go-Live Acceptance was achieved on 11 September 2024, when your Head of Data &amp; Analytics, Mr Robert Aldous, signed the Acceptance Certificate. Milestone 2 of £90,000 thereupon fell due.</w:t>
      </w:r>
    </w:p>
    <w:p>
      <w:pPr>
        <w:pStyle w:val="Heading2"/>
      </w:pPr>
      <w:r>
        <w:t xml:space="preserve">Your breaches</w:t>
      </w:r>
    </w:p>
    <w:p>
      <w:pPr>
        <w:pStyle w:val="ListParagraph"/>
        <w:numPr>
          <w:ilvl w:val="0"/>
          <w:numId w:val="2"/>
        </w:numPr>
        <w:spacing w:after="120" w:line="276"/>
      </w:pPr>
      <w:r>
        <w:t xml:space="preserve">Milestone 2 was invoiced on 12 September 2024 and remains unpaid in breach of clause 8.2.</w:t>
      </w:r>
    </w:p>
    <w:p>
      <w:pPr>
        <w:pStyle w:val="ListParagraph"/>
        <w:numPr>
          <w:ilvl w:val="0"/>
          <w:numId w:val="2"/>
        </w:numPr>
        <w:spacing w:after="120" w:line="276"/>
      </w:pPr>
      <w:r>
        <w:t xml:space="preserve">By letter dated 17 October 2025 your company purported to terminate the Polaris Agreement with immediate effect, asserting “persistent material breach” by reference to platform availability. That assertion is denied. The platform met the contractual Service Levels in clause 11 and Schedule 4 throughout. Your company had no right to terminate, and the purported termination is a wrongful repudiation which our client accepts as bringing the Agreement to an end.</w:t>
      </w:r>
    </w:p>
    <w:p>
      <w:pPr>
        <w:pStyle w:val="Heading2"/>
      </w:pPr>
      <w:r>
        <w:t xml:space="preserve">Our client’s claim</w:t>
      </w:r>
    </w:p>
    <w:p>
      <w:pPr>
        <w:pStyle w:val="ListParagraph"/>
        <w:numPr>
          <w:ilvl w:val="0"/>
          <w:numId w:val="2"/>
        </w:numPr>
        <w:spacing w:after="120" w:line="276"/>
      </w:pPr>
      <w:r>
        <w:t xml:space="preserve">Our client claims: (a) the unpaid Milestone 2 fee of £90,000; (b) damages for the loss of the licence fees that would have accrued over the unexpired balance of the term — two further years at £420,000, namely £840,000; and (c) interest. The total principal sum claimed is £930,000, before interest and costs.</w:t>
      </w:r>
    </w:p>
    <w:p>
      <w:pPr>
        <w:pStyle w:val="ListParagraph"/>
        <w:numPr>
          <w:ilvl w:val="0"/>
          <w:numId w:val="2"/>
        </w:numPr>
        <w:spacing w:after="120" w:line="276"/>
      </w:pPr>
      <w:r>
        <w:t xml:space="preserve">We enclose a draft Schedule of Loss. Our client gives credit for sums it would have expended in performing the remaining term, which are reflected in the schedule.</w:t>
      </w:r>
    </w:p>
    <w:p>
      <w:pPr>
        <w:pStyle w:val="Heading2"/>
      </w:pPr>
      <w:r>
        <w:t xml:space="preserve">Documents and response</w:t>
      </w:r>
    </w:p>
    <w:p>
      <w:pPr>
        <w:pStyle w:val="ListParagraph"/>
        <w:numPr>
          <w:ilvl w:val="0"/>
          <w:numId w:val="2"/>
        </w:numPr>
        <w:spacing w:after="120" w:line="276"/>
      </w:pPr>
      <w:r>
        <w:t xml:space="preserve">We enclose copies of the Polaris Agreement, the Acceptance Certificate of 11 September 2024 and the unpaid Milestone 2 invoice. Please provide, with your response, copies of all documents on which you rely to assert any breach of the Service Levels, including your availability monitoring records for the period May to October 2025.</w:t>
      </w:r>
    </w:p>
    <w:p>
      <w:pPr>
        <w:pStyle w:val="ListParagraph"/>
        <w:numPr>
          <w:ilvl w:val="0"/>
          <w:numId w:val="2"/>
        </w:numPr>
        <w:spacing w:after="120" w:line="276"/>
      </w:pPr>
      <w:r>
        <w:t xml:space="preserve">Please acknowledge this letter within 14 days and provide a full response within 30 days. If we do not receive a satisfactory response our client will issue proceedings without further notice and will rely on this letter on the question of costs.</w:t>
      </w:r>
    </w:p>
    <w:p>
      <w:pPr>
        <w:spacing w:after="280" w:before="160" w:line="276"/>
      </w:pPr>
      <w:r>
        <w:t xml:space="preserve">Yours faithfully</w:t>
      </w:r>
    </w:p>
    <w:p>
      <w:pPr>
        <w:spacing w:after="120" w:line="276"/>
      </w:pPr>
      <w:r>
        <w:rPr>
          <w:b/>
          <w:bCs/>
        </w:rPr>
        <w:t xml:space="preserve">Whitfield Carter LLP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360"/>
      </w:tabs>
    </w:pPr>
    <w:r>
      <w:rPr>
        <w:color w:val="808080"/>
        <w:sz w:val="14"/>
        <w:szCs w:val="14"/>
      </w:rPr>
      <w:t xml:space="preserve">Whitfield Carter LLP is a limited liability partnership registered in England &amp; Wales.</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rPr>
        <w:b/>
        <w:bCs/>
        <w:color w:val="1F3864"/>
        <w:sz w:val="26"/>
        <w:szCs w:val="26"/>
      </w:rPr>
      <w:t xml:space="preserve">Whitfield Carter LLP</w:t>
    </w:r>
  </w:p>
  <w:p>
    <w:pPr>
      <w:pBdr>
        <w:bottom w:val="single" w:color="1F3864" w:sz="6" w:space="2"/>
      </w:pBdr>
      <w:spacing w:after="60"/>
    </w:pPr>
    <w:r>
      <w:rPr>
        <w:color w:val="595959"/>
        <w:sz w:val="16"/>
        <w:szCs w:val="16"/>
      </w:rPr>
      <w:t xml:space="preserve">22 Bishopsgate, London EC2N 4BQ  ·  +44 (0)20 7946 1100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3"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4"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5"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6"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7"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abstractNum w:abstractNumId="8" w15:restartNumberingAfterBreak="0">
    <w:multiLevelType w:val="hybridMultilevel"/>
    <w:lvl w:ilvl="0" w15:tentative="1">
      <w:start w:val="1"/>
      <w:numFmt w:val="decimal"/>
      <w:lvlText w:val="%1."/>
      <w:lvlJc w:val="left"/>
      <w:pPr>
        <w:ind w:left="600" w:hanging="600"/>
      </w:pPr>
    </w:lvl>
    <w:lvl w:ilvl="1" w15:tentative="1">
      <w:start w:val="1"/>
      <w:numFmt w:val="lowerLetter"/>
      <w:lvlText w:val="(%2)"/>
      <w:lvlJc w:val="left"/>
      <w:pPr>
        <w:ind w:left="1200" w:hanging="480"/>
      </w:pPr>
    </w:lvl>
    <w:lvl w:ilvl="2" w15:tentative="1">
      <w:start w:val="1"/>
      <w:numFmt w:val="lowerRoman"/>
      <w:lvlText w:val="(%3)"/>
      <w:lvlJc w:val="left"/>
      <w:pPr>
        <w:ind w:left="1800" w:hanging="480"/>
      </w:pPr>
    </w:lvl>
  </w:abstractNum>
  <w:num w:numId="1">
    <w:abstractNumId w:val="1"/>
    <w:lvlOverride w:ilvl="0">
      <w:startOverride w:val="1"/>
    </w:lvlOverride>
  </w:num>
  <w:num w:numId="2">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2026-06-27T22:57:08.329Z</dcterms:created>
  <dcterms:modified xsi:type="dcterms:W3CDTF">2026-06-27T22:57:08.329Z</dcterms:modified>
</cp:coreProperties>
</file>

<file path=docProps/custom.xml><?xml version="1.0" encoding="utf-8"?>
<Properties xmlns="http://schemas.openxmlformats.org/officeDocument/2006/custom-properties" xmlns:vt="http://schemas.openxmlformats.org/officeDocument/2006/docPropsVTypes"/>
</file>