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IN THE HIGH COURT OF JUSTICE</w:t>
      </w:r>
    </w:p>
    <w:p>
      <w:pPr>
        <w:spacing w:after="120" w:line="276"/>
      </w:pPr>
      <w:r>
        <w:t xml:space="preserve">BUSINESS AND PROPERTY COURTS OF ENGLAND AND WALES — COMMERCIAL COURT (KBD)</w:t>
      </w:r>
    </w:p>
    <w:p>
      <w:pPr>
        <w:spacing w:after="160" w:line="276"/>
        <w:jc w:val="right"/>
      </w:pPr>
      <w:r>
        <w:t xml:space="preserve">Claim No. CL-2026-000148</w:t>
      </w:r>
    </w:p>
    <w:p>
      <w:pPr>
        <w:spacing w:after="160" w:line="276"/>
        <w:jc w:val="center"/>
      </w:pPr>
      <w:r>
        <w:rPr>
          <w:b/>
          <w:bCs/>
        </w:rPr>
        <w:t xml:space="preserve">BRIGHTWATER ANALYTICS LIMITED (Claimant) and CALDERVALE UNDERWRITING LIMITED (Defendant)</w:t>
      </w:r>
    </w:p>
    <w:p>
      <w:pPr>
        <w:spacing w:after="200" w:line="276"/>
        <w:jc w:val="center"/>
      </w:pPr>
      <w:r>
        <w:rPr>
          <w:b/>
          <w:bCs/>
        </w:rPr>
        <w:t xml:space="preserve">REPLY</w:t>
      </w:r>
    </w:p>
    <w:p>
      <w:pPr>
        <w:pStyle w:val="ListParagraph"/>
        <w:numPr>
          <w:ilvl w:val="0"/>
          <w:numId w:val="2"/>
        </w:numPr>
        <w:spacing w:after="120" w:line="276"/>
      </w:pPr>
      <w:r>
        <w:t xml:space="preserve">The Claimant joins issue with the Defendant on its Defence save where the Defence admits the Claimant’s case.</w:t>
      </w:r>
    </w:p>
    <w:p>
      <w:pPr>
        <w:pStyle w:val="ListParagraph"/>
        <w:numPr>
          <w:ilvl w:val="0"/>
          <w:numId w:val="2"/>
        </w:numPr>
        <w:spacing w:after="120" w:line="276"/>
      </w:pPr>
      <w:r>
        <w:t xml:space="preserve">As to paragraph 6 of the Defence, the availability figures pleaded are not admitted. The Defendant’s figures do not apply the measurement methodology in Schedule 4, which excludes Permitted Maintenance Windows and outages attributable to the Defendant’s own network. Measured correctly, availability did not fall below 99.5% in any month.</w:t>
      </w:r>
    </w:p>
    <w:p>
      <w:pPr>
        <w:pStyle w:val="ListParagraph"/>
        <w:numPr>
          <w:ilvl w:val="0"/>
          <w:numId w:val="2"/>
        </w:numPr>
        <w:spacing w:after="120" w:line="276"/>
      </w:pPr>
      <w:r>
        <w:t xml:space="preserve">Further, the outage of 14 June 2025 was caused by a failure of the Defendant’s single sign-on infrastructure, for which the Claimant is not responsible under paragraph 6.3 of Schedule 4.</w:t>
      </w:r>
    </w:p>
    <w:p>
      <w:pPr>
        <w:pStyle w:val="ListParagraph"/>
        <w:numPr>
          <w:ilvl w:val="0"/>
          <w:numId w:val="2"/>
        </w:numPr>
        <w:spacing w:after="120" w:line="276"/>
      </w:pPr>
      <w:r>
        <w:t xml:space="preserve">The emails of 18 March, 16 June and 30 September 2025 were service queries, not notices of material breach under clause 16.3. No clause 16.3 notice specifying a breach and allowing 30 days for remedy was ever given. The purported termination was therefore wrongful in any event.</w:t>
      </w:r>
    </w:p>
    <w:p>
      <w:pPr>
        <w:pStyle w:val="ListParagraph"/>
        <w:numPr>
          <w:ilvl w:val="0"/>
          <w:numId w:val="2"/>
        </w:numPr>
        <w:spacing w:after="120" w:line="276"/>
      </w:pPr>
      <w:r>
        <w:t xml:space="preserve">The set-off of £160,000 is not admitted. The Claimant will require the Defendant to prove that any replacement services were procured, their cost, and that such cost was reasonably incurred and caused by any breach on the Claimant’s part.</w:t>
      </w:r>
    </w:p>
    <w:p>
      <w:pPr>
        <w:spacing w:after="0" w:before="200" w:line="276"/>
      </w:pPr>
      <w:r>
        <w:rPr>
          <w:b/>
          <w:bCs/>
        </w:rPr>
        <w:t xml:space="preserve">HARRIET STANFORD</w:t>
      </w:r>
    </w:p>
    <w:p>
      <w:pPr>
        <w:spacing w:after="160" w:line="276"/>
      </w:pPr>
      <w:r>
        <w:t xml:space="preserve">Eldon Chambers</w:t>
      </w:r>
    </w:p>
    <w:p>
      <w:pPr>
        <w:spacing w:after="120" w:line="276"/>
      </w:pPr>
      <w:r>
        <w:t xml:space="preserve">Statement of Truth — The Claimant believes that the facts stated in this Reply are true.</w:t>
      </w:r>
    </w:p>
    <w:p>
      <w:pPr>
        <w:spacing w:after="120" w:line="276"/>
      </w:pPr>
      <w:r>
        <w:t xml:space="preserve">Signed: Nadia Forsyth, CEO, Brightwater Analytics Limited   Dated: 6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4"/>
        <w:szCs w:val="14"/>
      </w:rPr>
      <w:t xml:space="preserve">Reply</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2026-06-27T22:57:08.385Z</dcterms:created>
  <dcterms:modified xsi:type="dcterms:W3CDTF">2026-06-27T22:57:08.385Z</dcterms:modified>
</cp:coreProperties>
</file>

<file path=docProps/custom.xml><?xml version="1.0" encoding="utf-8"?>
<Properties xmlns="http://schemas.openxmlformats.org/officeDocument/2006/custom-properties" xmlns:vt="http://schemas.openxmlformats.org/officeDocument/2006/docPropsVTypes"/>
</file>