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line="276"/>
        <w:jc w:val="right"/>
      </w:pPr>
      <w:r>
        <w:t xml:space="preserve">Claim No. CL-2026-000148</w:t>
      </w:r>
    </w:p>
    <w:p>
      <w:pPr>
        <w:spacing w:after="160" w:line="276"/>
        <w:jc w:val="right"/>
      </w:pPr>
      <w:r>
        <w:t xml:space="preserve">Claimant: B. Analytics  ·  Witness: L. Okafor  ·  First statement  ·  Exhibit “LO1”</w:t>
      </w:r>
    </w:p>
    <w:p>
      <w:pPr>
        <w:spacing w:after="120" w:line="276"/>
      </w:pPr>
      <w:r>
        <w:rPr>
          <w:b/>
          <w:bCs/>
        </w:rPr>
        <w:t xml:space="preserve">IN THE HIGH COURT OF JUSTICE — BUSINESS AND PROPERTY COURTS — COMMERCIAL COURT (KBD)</w:t>
      </w:r>
    </w:p>
    <w:p>
      <w:pPr>
        <w:spacing w:after="160" w:line="276"/>
        <w:jc w:val="center"/>
      </w:pPr>
      <w:r>
        <w:rPr>
          <w:b/>
          <w:bCs/>
        </w:rPr>
        <w:t xml:space="preserve">BRIGHTWATER ANALYTICS LIMITED (Claimant) and CALDERVALE UNDERWRITING LIMITED (Defendant)</w:t>
      </w:r>
    </w:p>
    <w:p>
      <w:pPr>
        <w:spacing w:after="200" w:line="276"/>
        <w:jc w:val="center"/>
      </w:pPr>
      <w:r>
        <w:rPr>
          <w:b/>
          <w:bCs/>
        </w:rPr>
        <w:t xml:space="preserve">FIRST WITNESS STATEMENT OF LIAM OKAFOR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t xml:space="preserve">I, Liam Okafor, Commercial Director of Brightwater Analytics Limited, of Kerne House, 14 Albion Wharf, Manchester M3 4NU, WILL SAY as follows.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t xml:space="preserve">I make this statement from my own knowledge and from the Claimant’s records to which I have access. Where I refer to matters from those records, they are true to the best of my knowledge and belief. There is now produced and shown to me a paginated bundle of documents marked “LO1” to which I refer.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t xml:space="preserve">I had overall commercial responsibility for the Caldervale account from the outset. I negotiated the Polaris Agreement with the Defendant’s Group Procurement Director, Ms Catherine Vane, in early 2024. The commercial structure — a three-year committed term, a £420,000 annual licence fee and a £180,000 implementation fee in two £90,000 milestones — was agreed because the Defendant wanted a long-term partner and a fixed price.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t xml:space="preserve">The implementation went well. Go-Live Acceptance was signed by Mr Aldous on 11 September 2024. He was complimentary about the platform at the go-live review, which I attended.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t xml:space="preserve">From early 2025 the relationship changed after the Defendant was acquired and brought in a new analytics team. I believe the Defendant wanted to bring the work in-house. The “availability” complaints first appeared in an email of 18 March 2025. Our monitoring, applying the Schedule 4 methodology, showed availability above 99.5% in every month. The figures the Defendant relies on count maintenance windows and an outage on 14 June 2025 that was caused by the Defendant’s own single sign-on system going down, not our platform.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t xml:space="preserve">At no point did the Defendant serve a notice giving us 30 days to remedy any breach. The first I knew that they regarded matters as terminable was the termination letter of 17 October 2025 itself. We were given no opportunity to put anything right.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t xml:space="preserve">The Defendant has never paid the Milestone 2 invoice of £90,000 raised on 12 September 2024, despite Mr Aldous having signed the Acceptance Certificate that triggered it.</w:t>
      </w:r>
    </w:p>
    <w:p>
      <w:pPr>
        <w:spacing w:after="60" w:before="160" w:line="276"/>
      </w:pPr>
      <w:r>
        <w:rPr>
          <w:b/>
          <w:bCs/>
        </w:rPr>
        <w:t xml:space="preserve">Statement of Truth</w:t>
      </w:r>
    </w:p>
    <w:p>
      <w:pPr>
        <w:spacing w:after="160" w:line="276"/>
      </w:pPr>
      <w:r>
        <w:t xml:space="preserve">I believe that the facts stated in this witness statement are true. I understand that proceedings for contempt of court may be brought against anyone who makes, or causes to be made, a false statement in a document verified by a statement of truth without an honest belief in its truth.</w:t>
      </w:r>
    </w:p>
    <w:p>
      <w:pPr>
        <w:spacing w:after="0" w:line="276"/>
      </w:pPr>
      <w:r>
        <w:t xml:space="preserve">Signed: ………………   Liam Okafor</w:t>
      </w:r>
    </w:p>
    <w:p>
      <w:pPr>
        <w:spacing w:after="120" w:line="276"/>
      </w:pPr>
      <w:r>
        <w:t xml:space="preserve">Dated: 24 April 2026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808080"/>
        <w:sz w:val="14"/>
        <w:szCs w:val="14"/>
      </w:rPr>
      <w:t xml:space="preserve">Witness Statement of L. Okafor</w:t>
    </w:r>
    <w:r>
      <w:rPr>
        <w:color w:val="808080"/>
        <w:sz w:val="14"/>
        <w:szCs w:val="14"/>
      </w:rPr>
      <w:t xml:space="preserve">	Page </w:t>
    </w:r>
    <w:r>
      <w:rPr>
        <w:color w:val="808080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600"/>
      </w:pPr>
    </w:lvl>
    <w:lvl w:ilvl="1" w15:tentative="1">
      <w:start w:val="1"/>
      <w:numFmt w:val="lowerLetter"/>
      <w:lvlText w:val="(%2)"/>
      <w:lvlJc w:val="left"/>
      <w:pPr>
        <w:ind w:left="1200" w:hanging="480"/>
      </w:pPr>
    </w:lvl>
    <w:lvl w:ilvl="2" w15:tentative="1">
      <w:start w:val="1"/>
      <w:numFmt w:val="lowerRoman"/>
      <w:lvlText w:val="(%3)"/>
      <w:lvlJc w:val="left"/>
      <w:pPr>
        <w:ind w:left="1800" w:hanging="4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600"/>
      </w:pPr>
    </w:lvl>
    <w:lvl w:ilvl="1" w15:tentative="1">
      <w:start w:val="1"/>
      <w:numFmt w:val="lowerLetter"/>
      <w:lvlText w:val="(%2)"/>
      <w:lvlJc w:val="left"/>
      <w:pPr>
        <w:ind w:left="1200" w:hanging="480"/>
      </w:pPr>
    </w:lvl>
    <w:lvl w:ilvl="2" w15:tentative="1">
      <w:start w:val="1"/>
      <w:numFmt w:val="lowerRoman"/>
      <w:lvlText w:val="(%3)"/>
      <w:lvlJc w:val="left"/>
      <w:pPr>
        <w:ind w:left="1800" w:hanging="4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600"/>
      </w:pPr>
    </w:lvl>
    <w:lvl w:ilvl="1" w15:tentative="1">
      <w:start w:val="1"/>
      <w:numFmt w:val="lowerLetter"/>
      <w:lvlText w:val="(%2)"/>
      <w:lvlJc w:val="left"/>
      <w:pPr>
        <w:ind w:left="1200" w:hanging="480"/>
      </w:pPr>
    </w:lvl>
    <w:lvl w:ilvl="2" w15:tentative="1">
      <w:start w:val="1"/>
      <w:numFmt w:val="lowerRoman"/>
      <w:lvlText w:val="(%3)"/>
      <w:lvlJc w:val="left"/>
      <w:pPr>
        <w:ind w:left="1800" w:hanging="48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600"/>
      </w:pPr>
    </w:lvl>
    <w:lvl w:ilvl="1" w15:tentative="1">
      <w:start w:val="1"/>
      <w:numFmt w:val="lowerLetter"/>
      <w:lvlText w:val="(%2)"/>
      <w:lvlJc w:val="left"/>
      <w:pPr>
        <w:ind w:left="1200" w:hanging="480"/>
      </w:pPr>
    </w:lvl>
    <w:lvl w:ilvl="2" w15:tentative="1">
      <w:start w:val="1"/>
      <w:numFmt w:val="lowerRoman"/>
      <w:lvlText w:val="(%3)"/>
      <w:lvlJc w:val="left"/>
      <w:pPr>
        <w:ind w:left="1800" w:hanging="48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600"/>
      </w:pPr>
    </w:lvl>
    <w:lvl w:ilvl="1" w15:tentative="1">
      <w:start w:val="1"/>
      <w:numFmt w:val="lowerLetter"/>
      <w:lvlText w:val="(%2)"/>
      <w:lvlJc w:val="left"/>
      <w:pPr>
        <w:ind w:left="1200" w:hanging="480"/>
      </w:pPr>
    </w:lvl>
    <w:lvl w:ilvl="2" w15:tentative="1">
      <w:start w:val="1"/>
      <w:numFmt w:val="lowerRoman"/>
      <w:lvlText w:val="(%3)"/>
      <w:lvlJc w:val="left"/>
      <w:pPr>
        <w:ind w:left="1800" w:hanging="48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600"/>
      </w:pPr>
    </w:lvl>
    <w:lvl w:ilvl="1" w15:tentative="1">
      <w:start w:val="1"/>
      <w:numFmt w:val="lowerLetter"/>
      <w:lvlText w:val="(%2)"/>
      <w:lvlJc w:val="left"/>
      <w:pPr>
        <w:ind w:left="1200" w:hanging="480"/>
      </w:pPr>
    </w:lvl>
    <w:lvl w:ilvl="2" w15:tentative="1">
      <w:start w:val="1"/>
      <w:numFmt w:val="lowerRoman"/>
      <w:lvlText w:val="(%3)"/>
      <w:lvlJc w:val="left"/>
      <w:pPr>
        <w:ind w:left="1800" w:hanging="48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600"/>
      </w:pPr>
    </w:lvl>
    <w:lvl w:ilvl="1" w15:tentative="1">
      <w:start w:val="1"/>
      <w:numFmt w:val="lowerLetter"/>
      <w:lvlText w:val="(%2)"/>
      <w:lvlJc w:val="left"/>
      <w:pPr>
        <w:ind w:left="1200" w:hanging="480"/>
      </w:pPr>
    </w:lvl>
    <w:lvl w:ilvl="2" w15:tentative="1">
      <w:start w:val="1"/>
      <w:numFmt w:val="lowerRoman"/>
      <w:lvlText w:val="(%3)"/>
      <w:lvlJc w:val="left"/>
      <w:pPr>
        <w:ind w:left="1800" w:hanging="480"/>
      </w:pPr>
    </w:lvl>
  </w:abstractNum>
  <w:num w:numId="1">
    <w:abstractNumId w:val="1"/>
    <w:lvlOverride w:ilvl="0">
      <w:startOverride w:val="1"/>
    </w:lvlOverride>
  </w:num>
  <w:num w:numId="2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2026-06-27T22:57:08.400Z</dcterms:created>
  <dcterms:modified xsi:type="dcterms:W3CDTF">2026-06-27T22:57:08.400Z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