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COMPLETION AND SIGNING CHECKLIST</w:t>
      </w:r>
    </w:p>
    <w:p>
      <w:pPr>
        <w:spacing w:after="12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Brightwater Analytics / Pennine Mutual — Master SaaS and Data Services Agreement</w:t>
      </w:r>
    </w:p>
    <w:p>
      <w:pPr>
        <w:spacing w:after="120"/>
        <w:jc w:val="center"/>
        <w:rPr>
          <w:i/>
          <w:iCs/>
          <w:color w:val="777777"/>
        </w:rPr>
      </w:pPr>
      <w:r>
        <w:rPr>
          <w:i/>
          <w:iCs/>
          <w:color w:val="777777"/>
        </w:rPr>
        <w:t xml:space="preserve">Target signing: 28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200"/>
        <w:gridCol w:w="14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 / step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MSA (v3) approved by both legal teams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WC / Castle &amp; Vane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 1 (Commercial Terms) figures confirmed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Brightwater / Pennine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 5 (Data Processing) sub-processor list finalised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WC / Brightwater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Brightwater board approval of the Agreement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Brightwater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Pennine Mutual procurement sign-off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Pennine Mutual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Engrossed execution version circulated for signature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Signatory: Nadia Forsyth (CEO, Brightwater)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Brightwater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Signatory: Catherine Vane (Group Procurement Director, Pennine)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Pennine Mutual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Executed PDF exchanged and dated 28 April 2026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Implementation fee invoice raised on signature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Brightwater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Go-Live kick-off scheduled (1 May 2026)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Brightwater / Pennine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</w:tr>
    </w:tbl>
    <w:p>
      <w:pPr>
        <w:spacing w:after="120" w:line="276"/>
      </w:pPr>
      <w:r>
        <w:t xml:space="preserve"> </w:t>
      </w:r>
    </w:p>
    <w:p>
      <w:pPr>
        <w:spacing w:after="120" w:line="276"/>
      </w:pPr>
      <w:r>
        <w:t xml:space="preserve">Notes: Execution by exchange of signed PDF counterparts per clause 18.7. No conditions precedent outstanding. Closing bible to follow.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color w:val="808080"/>
        <w:sz w:val="14"/>
        <w:szCs w:val="14"/>
      </w:rPr>
      <w:t xml:space="preserve">Whitfield Carter LLP — Confidential and may be legally privileged.</w:t>
    </w:r>
  </w:p>
  <w:p>
    <w:pPr>
      <w:jc w:val="center"/>
    </w:pPr>
    <w:r>
      <w:rPr>
        <w:color w:val="808080"/>
        <w:sz w:val="15"/>
        <w:szCs w:val="15"/>
      </w:rPr>
      <w:t xml:space="preserve">WC-00157 – Completion Checklist   |   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of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864"/>
        <w:sz w:val="24"/>
        <w:szCs w:val="24"/>
      </w:rPr>
      <w:t xml:space="preserve">Whitfield Carter LLP</w:t>
    </w:r>
  </w:p>
  <w:p>
    <w:pPr>
      <w:pBdr>
        <w:bottom w:val="single" w:color="1F3864" w:sz="6" w:space="2"/>
      </w:pBdr>
      <w:spacing w:after="120"/>
    </w:pPr>
    <w:r>
      <w:rPr>
        <w:color w:val="595959"/>
        <w:sz w:val="16"/>
        <w:szCs w:val="16"/>
      </w:rPr>
      <w:t xml:space="preserve">22 Bishopsgate, London EC2N 4BQ  ·  +44 (0)20 7946 0100</w:t>
    </w:r>
  </w:p>
  <w:p>
    <w:pPr>
      <w:spacing w:after="80"/>
    </w:pPr>
    <w:r>
      <w:rPr>
        <w:color w:val="808080"/>
        <w:sz w:val="16"/>
        <w:szCs w:val="16"/>
      </w:rPr>
      <w:t xml:space="preserve">Completion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2026-06-27T22:15:36.876Z</dcterms:created>
  <dcterms:modified xsi:type="dcterms:W3CDTF">2026-06-27T22:15:36.876Z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