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sz w:val="28"/>
          <w:szCs w:val="28"/>
        </w:rPr>
      </w:pPr>
      <w:r>
        <w:rPr>
          <w:b/>
          <w:bCs/>
          <w:sz w:val="28"/>
          <w:szCs w:val="28"/>
        </w:rPr>
        <w:t xml:space="preserve">DATA PROCESSING AGREEMENT</w:t>
      </w:r>
    </w:p>
    <w:p>
      <w:pPr>
        <w:spacing w:after="120"/>
        <w:jc w:val="center"/>
        <w:rPr>
          <w:sz w:val="20"/>
          <w:szCs w:val="20"/>
        </w:rPr>
      </w:pPr>
      <w:r>
        <w:rPr>
          <w:sz w:val="20"/>
          <w:szCs w:val="20"/>
        </w:rPr>
        <w:t xml:space="preserve">Schedule 5 to the Master SaaS and Data Services Agreement</w:t>
      </w:r>
    </w:p>
    <w:p>
      <w:pPr>
        <w:spacing w:after="120"/>
        <w:jc w:val="center"/>
        <w:rPr>
          <w:sz w:val="18"/>
          <w:szCs w:val="18"/>
        </w:rPr>
      </w:pPr>
      <w:r>
        <w:rPr>
          <w:sz w:val="18"/>
          <w:szCs w:val="18"/>
        </w:rPr>
        <w:t xml:space="preserve">between Pennine Mutual Insurance plc (Controller) and Brightwater Analytics Limited (Processor)</w:t>
      </w:r>
    </w:p>
    <w:p>
      <w:pPr>
        <w:spacing w:after="120"/>
        <w:jc w:val="center"/>
        <w:rPr>
          <w:i/>
          <w:iCs/>
          <w:color w:val="777777"/>
          <w:sz w:val="18"/>
          <w:szCs w:val="18"/>
        </w:rPr>
      </w:pPr>
      <w:r>
        <w:rPr>
          <w:i/>
          <w:iCs/>
          <w:color w:val="777777"/>
          <w:sz w:val="18"/>
          <w:szCs w:val="18"/>
        </w:rPr>
        <w:t xml:space="preserve">Dated 28 April 2026</w:t>
      </w:r>
    </w:p>
    <w:p>
      <w:pPr>
        <w:spacing w:after="120" w:line="276"/>
      </w:pPr>
      <w:r>
        <w:t xml:space="preserve">This Data Processing Agreement (DPA) forms part of and is subject to the Master SaaS and Data Services Agreement between the parties (the Agreement) and sets out the terms on which the Processor processes Personal Data on behalf of the Controller. Terms defined in the Agreement have the same meaning in this DPA.</w:t>
      </w:r>
    </w:p>
    <w:p>
      <w:pPr>
        <w:keepNext/>
        <w:tabs>
          <w:tab w:val="left" w:pos="620"/>
        </w:tabs>
        <w:spacing w:after="100" w:before="200"/>
      </w:pPr>
      <w:r>
        <w:rPr>
          <w:b/>
          <w:bCs/>
        </w:rPr>
        <w:t xml:space="preserve">1.</w:t>
      </w:r>
      <w:r>
        <w:rPr>
          <w:b/>
          <w:bCs/>
        </w:rPr>
        <w:t xml:space="preserve">	STATUS OF THE PARTIES</w:t>
      </w:r>
    </w:p>
    <w:p>
      <w:pPr>
        <w:tabs>
          <w:tab w:val="left" w:pos="620"/>
        </w:tabs>
        <w:spacing w:after="100" w:line="276"/>
        <w:ind w:left="620" w:hanging="620"/>
      </w:pPr>
      <w:r>
        <w:t xml:space="preserve">1.1	</w:t>
      </w:r>
      <w:r>
        <w:t xml:space="preserve">For the purposes of the Data Protection Legislation, the Controller is the controller and the Processor is the processor in respect of the Customer Data that constitutes Personal Data processed in connection with the Services.</w:t>
      </w:r>
    </w:p>
    <w:p>
      <w:pPr>
        <w:tabs>
          <w:tab w:val="left" w:pos="620"/>
        </w:tabs>
        <w:spacing w:after="100" w:line="276"/>
        <w:ind w:left="620" w:hanging="620"/>
      </w:pPr>
      <w:r>
        <w:t xml:space="preserve">1.2	</w:t>
      </w:r>
      <w:r>
        <w:t xml:space="preserve">The details of the processing (subject-matter, duration, nature, purpose, types of Personal Data and categories of data subject) are set out in Annex 1.</w:t>
      </w:r>
    </w:p>
    <w:p>
      <w:pPr>
        <w:keepNext/>
        <w:tabs>
          <w:tab w:val="left" w:pos="620"/>
        </w:tabs>
        <w:spacing w:after="100" w:before="200"/>
      </w:pPr>
      <w:r>
        <w:rPr>
          <w:b/>
          <w:bCs/>
        </w:rPr>
        <w:t xml:space="preserve">2.</w:t>
      </w:r>
      <w:r>
        <w:rPr>
          <w:b/>
          <w:bCs/>
        </w:rPr>
        <w:t xml:space="preserve">	PROCESSOR OBLIGATIONS</w:t>
      </w:r>
    </w:p>
    <w:p>
      <w:pPr>
        <w:tabs>
          <w:tab w:val="left" w:pos="620"/>
        </w:tabs>
        <w:spacing w:after="80" w:line="276"/>
        <w:ind w:left="620" w:hanging="620"/>
      </w:pPr>
      <w:r>
        <w:t xml:space="preserve">2.1	</w:t>
      </w:r>
      <w:r>
        <w:t xml:space="preserve">The Processor shall:</w:t>
      </w:r>
    </w:p>
    <w:p>
      <w:pPr>
        <w:tabs>
          <w:tab w:val="left" w:pos="1180"/>
        </w:tabs>
        <w:spacing w:after="60" w:line="276"/>
        <w:ind w:left="1180" w:hanging="480"/>
      </w:pPr>
      <w:r>
        <w:t xml:space="preserve">(a)	</w:t>
      </w:r>
      <w:r>
        <w:t xml:space="preserve">process the Personal Data only on the documented instructions of the Controller, including with regard to international transfers, unless required to do otherwise by law;</w:t>
      </w:r>
    </w:p>
    <w:p>
      <w:pPr>
        <w:tabs>
          <w:tab w:val="left" w:pos="1180"/>
        </w:tabs>
        <w:spacing w:after="60" w:line="276"/>
        <w:ind w:left="1180" w:hanging="480"/>
      </w:pPr>
      <w:r>
        <w:t xml:space="preserve">(b)	</w:t>
      </w:r>
      <w:r>
        <w:t xml:space="preserve">ensure that persons authorised to process the Personal Data are subject to a duty of confidentiality;</w:t>
      </w:r>
    </w:p>
    <w:p>
      <w:pPr>
        <w:tabs>
          <w:tab w:val="left" w:pos="1180"/>
        </w:tabs>
        <w:spacing w:after="60" w:line="276"/>
        <w:ind w:left="1180" w:hanging="480"/>
      </w:pPr>
      <w:r>
        <w:t xml:space="preserve">(c)	</w:t>
      </w:r>
      <w:r>
        <w:t xml:space="preserve">implement the technical and organisational measures set out in Annex 2 to ensure a level of security appropriate to the risk;</w:t>
      </w:r>
    </w:p>
    <w:p>
      <w:pPr>
        <w:tabs>
          <w:tab w:val="left" w:pos="1180"/>
        </w:tabs>
        <w:spacing w:after="60" w:line="276"/>
        <w:ind w:left="1180" w:hanging="480"/>
      </w:pPr>
      <w:r>
        <w:t xml:space="preserve">(d)	</w:t>
      </w:r>
      <w:r>
        <w:t xml:space="preserve">assist the Controller, taking into account the nature of the processing, in responding to requests from data subjects and in ensuring compliance with the Controller's obligations under Articles 32 to 36 of the UK GDPR;</w:t>
      </w:r>
    </w:p>
    <w:p>
      <w:pPr>
        <w:tabs>
          <w:tab w:val="left" w:pos="1180"/>
        </w:tabs>
        <w:spacing w:after="60" w:line="276"/>
        <w:ind w:left="1180" w:hanging="480"/>
      </w:pPr>
      <w:r>
        <w:t xml:space="preserve">(e)	</w:t>
      </w:r>
      <w:r>
        <w:t xml:space="preserve">at the choice of the Controller, delete or return all Personal Data after the end of the provision of the Services, and delete existing copies unless required by law to store them; and</w:t>
      </w:r>
    </w:p>
    <w:p>
      <w:pPr>
        <w:tabs>
          <w:tab w:val="left" w:pos="1180"/>
        </w:tabs>
        <w:spacing w:after="60" w:line="276"/>
        <w:ind w:left="1180" w:hanging="480"/>
      </w:pPr>
      <w:r>
        <w:t xml:space="preserve">(f)	</w:t>
      </w:r>
      <w:r>
        <w:t xml:space="preserve">make available to the Controller all information necessary to demonstrate compliance with this DPA and allow for and contribute to audits, including inspections, conducted by the Controller or an auditor mandated by the Controller (subject to reasonable notice and confidentiality).</w:t>
      </w:r>
    </w:p>
    <w:p>
      <w:pPr>
        <w:keepNext/>
        <w:tabs>
          <w:tab w:val="left" w:pos="620"/>
        </w:tabs>
        <w:spacing w:after="100" w:before="200"/>
      </w:pPr>
      <w:r>
        <w:rPr>
          <w:b/>
          <w:bCs/>
        </w:rPr>
        <w:t xml:space="preserve">3.</w:t>
      </w:r>
      <w:r>
        <w:rPr>
          <w:b/>
          <w:bCs/>
        </w:rPr>
        <w:t xml:space="preserve">	SUB-PROCESSORS</w:t>
      </w:r>
    </w:p>
    <w:p>
      <w:pPr>
        <w:tabs>
          <w:tab w:val="left" w:pos="620"/>
        </w:tabs>
        <w:spacing w:after="100" w:line="276"/>
        <w:ind w:left="620" w:hanging="620"/>
      </w:pPr>
      <w:r>
        <w:t xml:space="preserve">3.1	</w:t>
      </w:r>
      <w:r>
        <w:t xml:space="preserve">The Controller grants a general authorisation for the Processor to engage the sub-processors listed in Annex 3. The Processor shall inform the Controller of any intended changes concerning the addition or replacement of sub-processors, giving the Controller the opportunity to object within fourteen (14) days.</w:t>
      </w:r>
    </w:p>
    <w:p>
      <w:pPr>
        <w:tabs>
          <w:tab w:val="left" w:pos="620"/>
        </w:tabs>
        <w:spacing w:after="100" w:line="276"/>
        <w:ind w:left="620" w:hanging="620"/>
      </w:pPr>
      <w:r>
        <w:t xml:space="preserve">3.2	</w:t>
      </w:r>
      <w:r>
        <w:t xml:space="preserve">The Processor shall impose on each sub-processor, by way of a written contract, data-protection obligations no less onerous than those set out in this DPA, and shall remain fully liable to the Controller for the performance of the sub-processor's obligations.</w:t>
      </w:r>
    </w:p>
    <w:p>
      <w:pPr>
        <w:keepNext/>
        <w:tabs>
          <w:tab w:val="left" w:pos="620"/>
        </w:tabs>
        <w:spacing w:after="100" w:before="200"/>
      </w:pPr>
      <w:r>
        <w:rPr>
          <w:b/>
          <w:bCs/>
        </w:rPr>
        <w:t xml:space="preserve">4.</w:t>
      </w:r>
      <w:r>
        <w:rPr>
          <w:b/>
          <w:bCs/>
        </w:rPr>
        <w:t xml:space="preserve">	PERSONAL DATA BREACH</w:t>
      </w:r>
    </w:p>
    <w:p>
      <w:pPr>
        <w:tabs>
          <w:tab w:val="left" w:pos="620"/>
        </w:tabs>
        <w:spacing w:after="100" w:line="276"/>
        <w:ind w:left="620" w:hanging="620"/>
      </w:pPr>
      <w:r>
        <w:t xml:space="preserve">4.1	</w:t>
      </w:r>
      <w:r>
        <w:t xml:space="preserve">The Processor shall notify the Controller without undue delay, and in any event within forty-eight (48) hours, after becoming aware of a Personal Data Breach affecting the Personal Data, and shall provide the Controller with sufficient information to allow it to meet any obligations to report or inform data subjects under the Data Protection Legislation.</w:t>
      </w:r>
    </w:p>
    <w:p>
      <w:pPr>
        <w:keepNext/>
        <w:tabs>
          <w:tab w:val="left" w:pos="620"/>
        </w:tabs>
        <w:spacing w:after="100" w:before="200"/>
      </w:pPr>
      <w:r>
        <w:rPr>
          <w:b/>
          <w:bCs/>
        </w:rPr>
        <w:t xml:space="preserve">5.</w:t>
      </w:r>
      <w:r>
        <w:rPr>
          <w:b/>
          <w:bCs/>
        </w:rPr>
        <w:t xml:space="preserve">	INTERNATIONAL TRANSFERS</w:t>
      </w:r>
    </w:p>
    <w:p>
      <w:pPr>
        <w:tabs>
          <w:tab w:val="left" w:pos="620"/>
        </w:tabs>
        <w:spacing w:after="100" w:line="276"/>
        <w:ind w:left="620" w:hanging="620"/>
      </w:pPr>
      <w:r>
        <w:t xml:space="preserve">5.1	</w:t>
      </w:r>
      <w:r>
        <w:t xml:space="preserve">The Processor shall not transfer Personal Data outside the United Kingdom without the prior written consent of the Controller. Where such transfer is authorised, the Processor shall ensure that appropriate safeguards (such as the UK International Data Transfer Agreement or an Addendum to the EU Standard Contractual Clauses) are in place.</w:t>
      </w:r>
    </w:p>
    <w:p>
      <w:pPr>
        <w:keepNext/>
        <w:tabs>
          <w:tab w:val="left" w:pos="620"/>
        </w:tabs>
        <w:spacing w:after="100" w:before="200"/>
      </w:pPr>
      <w:r>
        <w:rPr>
          <w:b/>
          <w:bCs/>
        </w:rPr>
        <w:t xml:space="preserve">6.</w:t>
      </w:r>
      <w:r>
        <w:rPr>
          <w:b/>
          <w:bCs/>
        </w:rPr>
        <w:t xml:space="preserve">	LIABILITY</w:t>
      </w:r>
    </w:p>
    <w:p>
      <w:pPr>
        <w:tabs>
          <w:tab w:val="left" w:pos="620"/>
        </w:tabs>
        <w:spacing w:after="100" w:line="276"/>
        <w:ind w:left="620" w:hanging="620"/>
      </w:pPr>
      <w:r>
        <w:t xml:space="preserve">6.1	</w:t>
      </w:r>
      <w:r>
        <w:t xml:space="preserve">The liability of each party under or in connection with this DPA is subject to the limitations and exclusions of liability set out in clause 11 of the Agreement, including the super-cap of three million pounds (£3,000,000) applicable to breaches of the data-protection obligations.</w:t>
      </w:r>
    </w:p>
    <w:p>
      <w:pPr>
        <w:pStyle w:val="Heading1"/>
      </w:pPr>
      <w:r>
        <w:t xml:space="preserve">ANNEX 1 — DETAILS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Item</w:t>
            </w:r>
          </w:p>
        </w:tc>
        <w:tc>
          <w:tcPr>
            <w:tcW w:type="dxa" w:w="65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Detail</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Subject-matter</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Provision of the Helio Claims Intelligence Platform and related data services</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Duration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The term of the Agreement and the 60-day exit period</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Nature and purpose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Hosting, triage, fraud-analytics, reserving and management-information processing of claims data</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Types of Personal Data</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Claimant and policyholder identifiers, contact details, policy and claims data, payment details, special category data where present in claims</w:t>
            </w:r>
          </w:p>
        </w:tc>
      </w:tr>
      <w:tr>
        <w:trPr>
          <w:tblHeader w:val="false"/>
        </w:trP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Categories of data subject</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Policyholders, claimants, witnesses and third parties to insurance claims</w:t>
            </w:r>
          </w:p>
        </w:tc>
      </w:tr>
    </w:tbl>
    <w:p>
      <w:pPr>
        <w:pStyle w:val="Heading1"/>
      </w:pPr>
      <w:r>
        <w:t xml:space="preserve">ANNEX 2 — TECHNICAL AND ORGANISATIONAL MEASURES</w:t>
      </w:r>
    </w:p>
    <w:p>
      <w:pPr>
        <w:spacing w:after="120" w:line="276"/>
      </w:pPr>
      <w:r>
        <w:t xml:space="preserve">Encryption of Personal Data in transit (TLS 1.2+) and at rest (AES-256); role-based access control and least-privilege; multi-factor authentication for administrative access; UK-region single-tenant logical isolation; ISO/IEC 27001-aligned information security management; regular penetration testing and vulnerability scanning; logging and monitoring; documented backup and disaster-recovery; and personnel security screening and training.</w:t>
      </w:r>
    </w:p>
    <w:p>
      <w:pPr>
        <w:pStyle w:val="Heading1"/>
      </w:pPr>
      <w:r>
        <w:t xml:space="preserve">ANNEX 3 — APPROVED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360"/>
      </w:tblGrid>
      <w:tr>
        <w:trPr>
          <w:tblHeader/>
        </w:trPr>
        <w:tc>
          <w:tcPr>
            <w:tcW w:type="dxa" w:w="3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Sub-processor</w:t>
            </w:r>
          </w:p>
        </w:tc>
        <w:tc>
          <w:tcPr>
            <w:tcW w:type="dxa" w:w="3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Service</w:t>
            </w:r>
          </w:p>
        </w:tc>
        <w:tc>
          <w:tcPr>
            <w:tcW w:type="dxa" w:w="23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b/>
                <w:bCs/>
                <w:color w:val="FFFFFF"/>
              </w:rPr>
              <w:t xml:space="preserve">Location</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Helio Cloud Infrastructure (UK) Ltd</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Cloud hosting and compute</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London / Slough, UK</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Aldgate Managed Backup Ltd</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Encrypted off-site backup</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Manchester, UK</w:t>
            </w:r>
          </w:p>
        </w:tc>
      </w:tr>
      <w:tr>
        <w:trPr>
          <w:tblHeader w:val="false"/>
        </w:trPr>
        <w:tc>
          <w:tcPr>
            <w:tcW w:type="dxa" w:w="3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Sentry Mail Notifications Ltd</w:t>
            </w:r>
          </w:p>
        </w:tc>
        <w:tc>
          <w:tcPr>
            <w:tcW w:type="dxa" w:w="3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Transactional email/alerts</w:t>
            </w:r>
          </w:p>
        </w:tc>
        <w:tc>
          <w:tcPr>
            <w:tcW w:type="dxa" w:w="2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val="false"/>
                <w:bCs w:val="false"/>
              </w:rPr>
              <w:t xml:space="preserve">UK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Data Processing Agreement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Data Processing Agreement (Schedule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2026-06-27T22:22:23.910Z</dcterms:created>
  <dcterms:modified xsi:type="dcterms:W3CDTF">2026-06-27T22:22:23.910Z</dcterms:modified>
</cp:coreProperties>
</file>

<file path=docProps/custom.xml><?xml version="1.0" encoding="utf-8"?>
<Properties xmlns="http://schemas.openxmlformats.org/officeDocument/2006/custom-properties" xmlns:vt="http://schemas.openxmlformats.org/officeDocument/2006/docPropsVTypes"/>
</file>