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rPr>
          <w:i/>
          <w:iCs/>
          <w:color w:val="777777"/>
        </w:rPr>
      </w:pPr>
      <w:r>
        <w:rPr>
          <w:i/>
          <w:iCs/>
          <w:color w:val="777777"/>
        </w:rPr>
        <w:t xml:space="preserve">Strictly private and confidential</w:t>
      </w:r>
    </w:p>
    <w:p>
      <w:pPr>
        <w:spacing w:after="120" w:line="276"/>
      </w:pPr>
      <w:r>
        <w:t xml:space="preserve">Ms Nadia Forsyth</w:t>
      </w:r>
    </w:p>
    <w:p>
      <w:pPr>
        <w:spacing w:after="120" w:line="276"/>
      </w:pPr>
      <w:r>
        <w:t xml:space="preserve">Chief Executive Officer</w:t>
      </w:r>
    </w:p>
    <w:p>
      <w:pPr>
        <w:spacing w:after="120" w:line="276"/>
      </w:pPr>
      <w:r>
        <w:t xml:space="preserve">Brightwater Analytics Limited</w:t>
      </w:r>
    </w:p>
    <w:p>
      <w:pPr>
        <w:spacing w:after="120" w:line="276"/>
      </w:pPr>
      <w:r>
        <w:t xml:space="preserve">Kingfisher House, 14 Curtain Road, London EC2A 3PT</w:t>
      </w:r>
    </w:p>
    <w:p>
      <w:pPr>
        <w:spacing w:after="120" w:line="276"/>
      </w:pPr>
      <w:r>
        <w:t xml:space="preserve">By email: nadia.forsyth@brightwateranalytics.com</w:t>
      </w:r>
    </w:p>
    <w:p>
      <w:pPr>
        <w:spacing w:after="120" w:line="276"/>
      </w:pPr>
      <w:r>
        <w:t xml:space="preserve"> </w:t>
      </w:r>
    </w:p>
    <w:p>
      <w:pPr>
        <w:spacing w:after="120" w:line="276"/>
      </w:pPr>
      <w:r>
        <w:t xml:space="preserve">9 February 2026</w:t>
      </w:r>
    </w:p>
    <w:p>
      <w:pPr>
        <w:spacing w:after="120" w:line="276"/>
      </w:pPr>
      <w:r>
        <w:t xml:space="preserve"> </w:t>
      </w:r>
    </w:p>
    <w:p>
      <w:pPr>
        <w:spacing w:after="120" w:line="276"/>
      </w:pPr>
      <w:r>
        <w:t xml:space="preserve">Dear Nadia</w:t>
      </w:r>
    </w:p>
    <w:p>
      <w:pPr>
        <w:spacing w:after="120" w:line="276"/>
        <w:rPr>
          <w:b/>
          <w:bCs/>
        </w:rPr>
      </w:pPr>
      <w:r>
        <w:rPr>
          <w:b/>
          <w:bCs/>
        </w:rPr>
        <w:t xml:space="preserve">Engagement: Master SaaS and Data Services Agreement with Pennine Mutual Insurance plc</w:t>
      </w:r>
    </w:p>
    <w:p>
      <w:pPr>
        <w:spacing w:after="120" w:line="276"/>
      </w:pPr>
      <w:r>
        <w:t xml:space="preserve">Thank you for instructing Whitfield Carter LLP in connection with the proposed Master SaaS and Data Services Agreement under which Brightwater Analytics Limited will provide the Helio Claims Intelligence Platform to Pennine Mutual Insurance plc. This letter, together with our enclosed standard terms of business, sets out the basis on which we will act for you.</w:t>
      </w:r>
    </w:p>
    <w:p>
      <w:pPr>
        <w:pStyle w:val="Heading2"/>
      </w:pPr>
      <w:r>
        <w:t xml:space="preserve">1. Scope of our work</w:t>
      </w:r>
    </w:p>
    <w:p>
      <w:pPr>
        <w:spacing w:after="120" w:line="276"/>
      </w:pPr>
      <w:r>
        <w:t xml:space="preserve">Our instructions are to advise on and negotiate the contractual arrangements for the supply of your SaaS platform and related services to Pennine Mutual. Our work will include: (a) preparing heads of terms; (b) drafting the Master SaaS and Data Services Agreement and its schedules (including service levels, data processing and exit terms); (c) reviewing and negotiating mark-ups received from the customer’s solicitors, Castle &amp; Vane LLP; and (d) advising on data protection, liability and intellectual property allocation. Our work does not extend to tax advice or to the technical configuration of the Platform.</w:t>
      </w:r>
    </w:p>
    <w:p>
      <w:pPr>
        <w:pStyle w:val="Heading2"/>
      </w:pPr>
      <w:r>
        <w:t xml:space="preserve">2. People responsible for your work</w:t>
      </w:r>
    </w:p>
    <w:p>
      <w:pPr>
        <w:spacing w:after="120" w:line="276"/>
      </w:pPr>
      <w:r>
        <w:t xml:space="preserve">I, Sarah Whitfield (Partner), will have overall responsibility for this matter. James Osei (Senior Associate) will handle the day-to-day conduct of the negotiation and drafting, supported by Elena Marchetti (Associate).</w:t>
      </w:r>
    </w:p>
    <w:p>
      <w:pPr>
        <w:pStyle w:val="Heading2"/>
      </w:pPr>
      <w:r>
        <w:t xml:space="preserve">3. Fees and disbursements</w:t>
      </w:r>
    </w:p>
    <w:p>
      <w:pPr>
        <w:spacing w:after="120" w:line="276"/>
      </w:pPr>
      <w:r>
        <w:t xml:space="preserve">Our fees are charged primarily by reference to time spent. Current hourly rates (exclusive of VAT) are: Partner £620; Senior Associate £440; Associate £320. We estimate our fees for negotiating and completing the Agreement to be in the region of £28,000 to £36,000 plus VAT and disbursements, assuming two to three rounds of mark-up. We will notify you promptly if it appears this estimate will be exceeded.</w:t>
      </w:r>
    </w:p>
    <w:p>
      <w:pPr>
        <w:pStyle w:val="Heading2"/>
      </w:pPr>
      <w:r>
        <w:t xml:space="preserve">4. Billing</w:t>
      </w:r>
    </w:p>
    <w:p>
      <w:pPr>
        <w:spacing w:after="120" w:line="276"/>
      </w:pPr>
      <w:r>
        <w:t xml:space="preserve">We will bill monthly in arrears. Our invoices are payable within 14 days of the date of invoice. Where a matter is ongoing, we may render interim bills for work carried out to date.</w:t>
      </w:r>
    </w:p>
    <w:p>
      <w:pPr>
        <w:pStyle w:val="Heading2"/>
      </w:pPr>
      <w:r>
        <w:t xml:space="preserve">5. Confidentiality and conflicts</w:t>
      </w:r>
    </w:p>
    <w:p>
      <w:pPr>
        <w:spacing w:after="120" w:line="276"/>
      </w:pPr>
      <w:r>
        <w:t xml:space="preserve">We have carried out a conflict check and are not aware of any conflict of interest preventing us from acting. We will keep your affairs confidential, subject to our regulatory obligations.</w:t>
      </w:r>
    </w:p>
    <w:p>
      <w:pPr>
        <w:pStyle w:val="Heading2"/>
      </w:pPr>
      <w:r>
        <w:t xml:space="preserve">6. Regulatory information</w:t>
      </w:r>
    </w:p>
    <w:p>
      <w:pPr>
        <w:spacing w:after="120" w:line="276"/>
      </w:pPr>
      <w:r>
        <w:t xml:space="preserve">Whitfield Carter LLP is authorised and regulated by the Solicitors Regulation Authority. Our complaints procedure is available on request.</w:t>
      </w:r>
    </w:p>
    <w:p>
      <w:pPr>
        <w:spacing w:after="120" w:line="276"/>
      </w:pPr>
      <w:r>
        <w:t xml:space="preserve">Please confirm your acceptance of these terms by signing and returning the enclosed copy of this letter. We are delighted to be working with you on this matter.</w:t>
      </w:r>
    </w:p>
    <w:p>
      <w:pPr>
        <w:spacing w:after="120" w:line="276"/>
      </w:pPr>
      <w:r>
        <w:t xml:space="preserve"> </w:t>
      </w:r>
    </w:p>
    <w:p>
      <w:pPr>
        <w:spacing w:after="120" w:line="276"/>
      </w:pPr>
      <w:r>
        <w:t xml:space="preserve">Yours sincerely</w:t>
      </w:r>
    </w:p>
    <w:p>
      <w:pPr>
        <w:spacing w:after="120" w:line="276"/>
      </w:pPr>
      <w:r>
        <w:t xml:space="preserve"> </w:t>
      </w:r>
    </w:p>
    <w:p>
      <w:pPr>
        <w:spacing w:after="120" w:line="276"/>
        <w:rPr>
          <w:b/>
          <w:bCs/>
        </w:rPr>
      </w:pPr>
      <w:r>
        <w:rPr>
          <w:b/>
          <w:bCs/>
        </w:rPr>
        <w:t xml:space="preserve">Sarah Whitfield</w:t>
      </w:r>
    </w:p>
    <w:p>
      <w:pPr>
        <w:spacing w:after="120" w:line="276"/>
      </w:pPr>
      <w:r>
        <w:t xml:space="preserve">Partner, Whitfield Carter LLP</w:t>
      </w:r>
    </w:p>
    <w:p>
      <w:pPr>
        <w:spacing w:after="120" w:line="276"/>
      </w:pPr>
      <w:r>
        <w:t xml:space="preserve">sarah.whitfield@whitfieldcarter.com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08080"/>
        <w:sz w:val="14"/>
        <w:szCs w:val="14"/>
      </w:rPr>
      <w:t xml:space="preserve">Whitfield Carter LLP — Confidential and may be legally privileged.</w:t>
    </w:r>
  </w:p>
  <w:p>
    <w:pPr>
      <w:jc w:val="center"/>
    </w:pPr>
    <w:r>
      <w:rPr>
        <w:color w:val="808080"/>
        <w:sz w:val="15"/>
        <w:szCs w:val="15"/>
      </w:rPr>
      <w:t xml:space="preserve">WC-00157 – Engagement Letter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4"/>
        <w:szCs w:val="24"/>
      </w:rPr>
      <w:t xml:space="preserve">Whitfield Carter LLP</w:t>
    </w:r>
  </w:p>
  <w:p>
    <w:pPr>
      <w:pBdr>
        <w:bottom w:val="single" w:color="1F3864" w:sz="6" w:space="2"/>
      </w:pBdr>
      <w:spacing w:after="120"/>
    </w:pPr>
    <w:r>
      <w:rPr>
        <w:color w:val="595959"/>
        <w:sz w:val="16"/>
        <w:szCs w:val="16"/>
      </w:rPr>
      <w:t xml:space="preserve">22 Bishopsgate, London EC2N 4BQ  ·  +44 (0)20 7946 0100</w:t>
    </w:r>
  </w:p>
  <w:p>
    <w:pPr>
      <w:spacing w:after="80"/>
    </w:pPr>
    <w:r>
      <w:rPr>
        <w:color w:val="808080"/>
        <w:sz w:val="16"/>
        <w:szCs w:val="16"/>
      </w:rPr>
      <w:t xml:space="preserve">Engagement Letter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2026-06-27T22:15:36.765Z</dcterms:created>
  <dcterms:modified xsi:type="dcterms:W3CDTF">2026-06-27T22:15:36.765Z</dcterms:modified>
</cp:coreProperties>
</file>

<file path=docProps/custom.xml><?xml version="1.0" encoding="utf-8"?>
<Properties xmlns="http://schemas.openxmlformats.org/officeDocument/2006/custom-properties" xmlns:vt="http://schemas.openxmlformats.org/officeDocument/2006/docPropsVTypes"/>
</file>