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sz w:val="28"/>
          <w:szCs w:val="28"/>
        </w:rPr>
      </w:pPr>
      <w:r>
        <w:rPr>
          <w:b/>
          <w:bCs/>
          <w:sz w:val="28"/>
          <w:szCs w:val="28"/>
        </w:rPr>
        <w:t xml:space="preserve">HEADS OF TERMS</w:t>
      </w:r>
    </w:p>
    <w:p>
      <w:pPr>
        <w:spacing w:after="120"/>
        <w:jc w:val="center"/>
        <w:rPr>
          <w:sz w:val="22"/>
          <w:szCs w:val="22"/>
        </w:rPr>
      </w:pPr>
      <w:r>
        <w:rPr>
          <w:sz w:val="22"/>
          <w:szCs w:val="22"/>
        </w:rPr>
        <w:t xml:space="preserve">Master SaaS and Data Services Agreement</w:t>
      </w:r>
    </w:p>
    <w:p>
      <w:pPr>
        <w:spacing w:after="120"/>
        <w:jc w:val="center"/>
        <w:rPr>
          <w:sz w:val="20"/>
          <w:szCs w:val="20"/>
        </w:rPr>
      </w:pPr>
      <w:r>
        <w:rPr>
          <w:sz w:val="20"/>
          <w:szCs w:val="20"/>
        </w:rPr>
        <w:t xml:space="preserve">Brightwater Analytics Limited  /  Pennine Mutual Insurance plc</w:t>
      </w:r>
    </w:p>
    <w:p>
      <w:pPr>
        <w:spacing w:after="120"/>
        <w:jc w:val="center"/>
        <w:rPr>
          <w:i/>
          <w:iCs/>
          <w:color w:val="777777"/>
          <w:sz w:val="18"/>
          <w:szCs w:val="18"/>
        </w:rPr>
      </w:pPr>
      <w:r>
        <w:rPr>
          <w:i/>
          <w:iCs/>
          <w:color w:val="777777"/>
          <w:sz w:val="18"/>
          <w:szCs w:val="18"/>
        </w:rPr>
        <w:t xml:space="preserve">Draft – 6 March 2026   |   Subject to contract</w:t>
      </w:r>
    </w:p>
    <w:p>
      <w:pPr>
        <w:spacing w:after="120" w:line="276"/>
      </w:pPr>
      <w:r>
        <w:t xml:space="preserve"> </w:t>
      </w:r>
    </w:p>
    <w:p>
      <w:pPr>
        <w:spacing w:after="120" w:line="276"/>
        <w:rPr>
          <w:i/>
          <w:iCs/>
        </w:rPr>
      </w:pPr>
      <w:r>
        <w:rPr>
          <w:i/>
          <w:iCs/>
        </w:rPr>
        <w:t xml:space="preserve">These heads of terms record the principal commercial terms agreed in principle between the parties for the supply of the Helio Claims Intelligence Platform. They are not legally binding (save for the confidentiality and exclusivity paragraphs) and are subject to a definitive Master SaaS and Data Services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Item</w:t>
            </w:r>
          </w:p>
        </w:tc>
        <w:tc>
          <w:tcPr>
            <w:tcW w:type="dxa" w:w="6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Agreed position</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Supplier</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Brightwater Analytics Limited (company no. 11842663)</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Customer</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Pennine Mutual Insurance plc (company no. 00298471)</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Solution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Helio Claims Intelligence Platform (SaaS), plus implementation, support and data services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Initial term</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3 years from Go-Live, targeted 1 May 2026, auto-renewing for 12-month periods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Implementation fee</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£120,000 (ex VAT) on signature</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1 subscription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£840,000 (ex VAT), annually in advance</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Annual uplift</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5% on each anniversary (Yr2 £882,000; Yr3 £926,100)</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Payment terms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30 days from invoice</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Availability SLA</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99.9% monthly, with service credits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Liability cap</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To be negotiated; Supplier to propose 100% of annual charges, with a data/confidentiality super-cap</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Data protection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Customer controller / Supplier processor; UK-hosted; processor terms in a schedule</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Exclusivity</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Parties to negotiate exclusively for 45 days from the date of these heads of terms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Governing law</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England and Wales</w:t>
            </w:r>
          </w:p>
        </w:tc>
      </w:tr>
    </w:tbl>
    <w:p>
      <w:pPr>
        <w:spacing w:after="120" w:line="276"/>
      </w:pPr>
      <w:r>
        <w:t xml:space="preserve"> </w:t>
      </w:r>
    </w:p>
    <w:p>
      <w:pPr>
        <w:spacing w:after="120" w:line="276"/>
      </w:pPr>
      <w:r>
        <w:t xml:space="preserve">Agreed in principle on behalf of the parties (subject to contract):</w:t>
      </w:r>
    </w:p>
    <w:p>
      <w:pPr>
        <w:spacing w:after="120" w:line="276"/>
      </w:pPr>
      <w:r>
        <w:t xml:space="preserve">Brightwater Analytics Limited – Liam Okafor, Commercial Director</w:t>
      </w:r>
    </w:p>
    <w:p>
      <w:pPr>
        <w:spacing w:after="120" w:line="276"/>
      </w:pPr>
      <w:r>
        <w:t xml:space="preserve">Pennine Mutual Insurance plc – Catherine Vane, Group Procurement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Heads of Terms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2026-06-27T22:15:36.837Z</dcterms:created>
  <dcterms:modified xsi:type="dcterms:W3CDTF">2026-06-27T22:15:36.837Z</dcterms:modified>
</cp:coreProperties>
</file>

<file path=docProps/custom.xml><?xml version="1.0" encoding="utf-8"?>
<Properties xmlns="http://schemas.openxmlformats.org/officeDocument/2006/custom-properties" xmlns:vt="http://schemas.openxmlformats.org/officeDocument/2006/docPropsVTypes"/>
</file>