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rPr>
          <w:b/>
          <w:bCs/>
          <w:color w:val="B00000"/>
          <w:sz w:val="18"/>
          <w:szCs w:val="18"/>
        </w:rPr>
      </w:pPr>
      <w:r>
        <w:rPr>
          <w:b/>
          <w:bCs/>
          <w:color w:val="B00000"/>
          <w:sz w:val="18"/>
          <w:szCs w:val="18"/>
        </w:rPr>
        <w:t xml:space="preserve">PRIVILEGED &amp; CONFIDENTIAL — INTERNAL ADVICE</w:t>
      </w:r>
    </w:p>
    <w:p>
      <w:pPr>
        <w:spacing w:after="120"/>
        <w:jc w:val="center"/>
        <w:rPr>
          <w:b/>
          <w:bCs/>
          <w:sz w:val="26"/>
          <w:szCs w:val="26"/>
        </w:rPr>
      </w:pPr>
      <w:r>
        <w:rPr>
          <w:b/>
          <w:bCs/>
          <w:sz w:val="26"/>
          <w:szCs w:val="26"/>
        </w:rPr>
        <w:t xml:space="preserve">NEGOTIATION ISSUES NOTE</w:t>
      </w:r>
    </w:p>
    <w:p>
      <w:pPr>
        <w:spacing w:after="120"/>
        <w:jc w:val="center"/>
        <w:rPr>
          <w:sz w:val="20"/>
          <w:szCs w:val="20"/>
        </w:rPr>
      </w:pPr>
      <w:r>
        <w:rPr>
          <w:sz w:val="20"/>
          <w:szCs w:val="20"/>
        </w:rPr>
        <w:t xml:space="preserve">Brightwater / Pennine Mutual — Castle &amp; Vane mark-up (v2)</w:t>
      </w:r>
    </w:p>
    <w:p>
      <w:pPr>
        <w:spacing w:after="120" w:line="276"/>
        <w:rPr>
          <w:sz w:val="18"/>
          <w:szCs w:val="18"/>
        </w:rPr>
      </w:pPr>
      <w:r>
        <w:rPr>
          <w:sz w:val="18"/>
          <w:szCs w:val="18"/>
        </w:rPr>
        <w:t xml:space="preserve">To: Nadia Forsyth (CEO); Liam Okafor (Commercial Director); Priya Sato (General Counsel)</w:t>
      </w:r>
    </w:p>
    <w:p>
      <w:pPr>
        <w:spacing w:after="120" w:line="276"/>
        <w:rPr>
          <w:sz w:val="18"/>
          <w:szCs w:val="18"/>
        </w:rPr>
      </w:pPr>
      <w:r>
        <w:rPr>
          <w:sz w:val="18"/>
          <w:szCs w:val="18"/>
        </w:rPr>
        <w:t xml:space="preserve">From: James Osei, Whitfield Carter LLP    Date: 8 April 2026</w:t>
      </w:r>
    </w:p>
    <w:p>
      <w:pPr>
        <w:spacing w:after="120" w:line="276"/>
      </w:pPr>
      <w:r>
        <w:t xml:space="preserve">This note summarises the key open points arising from Castle &amp; Vane’s mark-up of the MSA returned on 3 April, our recommended positions, and where we suggest you can give ground. References are to clauses of the v2 redline.</w:t>
      </w:r>
    </w:p>
    <w:p>
      <w:pPr>
        <w:pStyle w:val="Heading2"/>
      </w:pPr>
      <w:r>
        <w:t xml:space="preserve">1. Liability cap (clause 11.3) — highest priority</w:t>
      </w:r>
    </w:p>
    <w:p>
      <w:pPr>
        <w:spacing w:after="120" w:line="276"/>
      </w:pPr>
      <w:r>
        <w:t xml:space="preserve">Pennine Mutual has deleted our proposed 100% cap and inserted an unlimited liability position for the Supplier, alternatively a cap of 200% of annual charges. This is out of line with market for a deal of this size. Recommendation: hold firm on a capped position but offer movement from 100% to 125% of the Charges paid in the preceding 12 months as a landing zone. We expect Castle &amp; Vane to accept a figure between 125% and 150%.</w:t>
      </w:r>
    </w:p>
    <w:p>
      <w:pPr>
        <w:pStyle w:val="Heading2"/>
      </w:pPr>
      <w:r>
        <w:t xml:space="preserve">2. Data-protection / confidentiality super-cap (clause 11.4)</w:t>
      </w:r>
    </w:p>
    <w:p>
      <w:pPr>
        <w:spacing w:after="120" w:line="276"/>
      </w:pPr>
      <w:r>
        <w:t xml:space="preserve">Castle &amp; Vane want the data-protection and confidentiality carve-out to be uncapped. Given the volume of claimant personal data, some elevated cap is reasonable, but uncapped exposure is not acceptable to Brightwater’s insurers. Recommendation: propose a fixed super-cap of £3,000,000 for breaches of clause 10 (Data Protection) and clause 12 (Confidentiality), replacing the £5,000,000 figure currently in our draft. This is defensible and within your PI cover.</w:t>
      </w:r>
    </w:p>
    <w:p>
      <w:pPr>
        <w:pStyle w:val="Heading2"/>
      </w:pPr>
      <w:r>
        <w:t xml:space="preserve">3. Termination for convenience (clause 13.2)</w:t>
      </w:r>
    </w:p>
    <w:p>
      <w:pPr>
        <w:spacing w:after="120" w:line="276"/>
      </w:pPr>
      <w:r>
        <w:t xml:space="preserve">The customer seeks termination for convenience on 30 days’ notice from day one. That undermines the revenue assumptions underpinning the pricing. Recommendation: resist; offer termination for convenience only after the end of year 2 on 90 days’ notice, with a 50% early termination charge for the remainder of the Initial Term (already in Schedule 1).</w:t>
      </w:r>
    </w:p>
    <w:p>
      <w:pPr>
        <w:pStyle w:val="Heading2"/>
      </w:pPr>
      <w:r>
        <w:t xml:space="preserve">4. Anonymised/aggregated data rights (clause 8.3)</w:t>
      </w:r>
    </w:p>
    <w:p>
      <w:pPr>
        <w:spacing w:after="120" w:line="276"/>
      </w:pPr>
      <w:r>
        <w:t xml:space="preserve">The customer has struck through your right to use anonymised, aggregated data for benchmarking. This right is commercially important to Brightwater. Recommendation: retain the clause but strengthen the wording to make clear the data is irreversibly anonymised and is not Personal Data or Confidential Information — this should address their concern.</w:t>
      </w:r>
    </w:p>
    <w:p>
      <w:pPr>
        <w:pStyle w:val="Heading2"/>
      </w:pPr>
      <w:r>
        <w:t xml:space="preserve">5. Service credits as sole remedy (clause 5.2)</w:t>
      </w:r>
    </w:p>
    <w:p>
      <w:pPr>
        <w:spacing w:after="120" w:line="276"/>
      </w:pPr>
      <w:r>
        <w:t xml:space="preserve">Castle &amp; Vane have deleted ‘sole financial remedy’. Recommendation: retain service credits as the sole financial remedy for availability failures, but concede the express termination right for three consecutive months of failure (clause 13.3), which gives the customer comfort without opening up uncapped damages.</w:t>
      </w:r>
    </w:p>
    <w:p>
      <w:pPr>
        <w:pStyle w:val="Heading2"/>
      </w:pPr>
      <w:r>
        <w:t xml:space="preserve">6. Recommended fallback package</w:t>
      </w:r>
    </w:p>
    <w:p>
      <w:pPr>
        <w:spacing w:after="120" w:line="276"/>
      </w:pPr>
      <w:r>
        <w:t xml:space="preserve">If a single trade is needed to close: concede that the 5% annual uplift is fixed (rather than RPI-linked, which the customer briefly raised) and the three-month service-failure termination right, in exchange for the 125% cap and the £3,000,000 super-cap. We consider this a strong outcome for Brightwater.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jc w:val="center"/>
    </w:pPr>
    <w:r>
      <w:rPr>
        <w:color w:val="808080"/>
        <w:sz w:val="14"/>
        <w:szCs w:val="14"/>
      </w:rPr>
      <w:t xml:space="preserve">Whitfield Carter LLP — Confidential and may be legally privileged.</w:t>
    </w:r>
  </w:p>
  <w:p>
    <w:pPr>
      <w:jc w:val="center"/>
    </w:pPr>
    <w:r>
      <w:rPr>
        <w:color w:val="808080"/>
        <w:sz w:val="15"/>
        <w:szCs w:val="15"/>
      </w:rPr>
      <w:t xml:space="preserve">WC-00157 – Negotiation Issues Note   |   Page </w:t>
    </w:r>
    <w:r>
      <w:rPr>
        <w:color w:val="808080"/>
        <w:sz w:val="15"/>
        <w:szCs w:val="15"/>
      </w:rPr>
      <w:fldChar w:fldCharType="begin"/>
      <w:instrText xml:space="preserve">PAGE</w:instrText>
      <w:fldChar w:fldCharType="separate"/>
      <w:fldChar w:fldCharType="end"/>
    </w:r>
    <w:r>
      <w:rPr>
        <w:color w:val="808080"/>
        <w:sz w:val="15"/>
        <w:szCs w:val="15"/>
      </w:rPr>
      <w:t xml:space="preserve"> of </w:t>
    </w:r>
    <w:r>
      <w:rPr>
        <w:color w:val="8080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b/>
        <w:bCs/>
        <w:color w:val="1F3864"/>
        <w:sz w:val="24"/>
        <w:szCs w:val="24"/>
      </w:rPr>
      <w:t xml:space="preserve">Whitfield Carter LLP</w:t>
    </w:r>
  </w:p>
  <w:p>
    <w:pPr>
      <w:pBdr>
        <w:bottom w:val="single" w:color="1F3864" w:sz="6" w:space="2"/>
      </w:pBdr>
      <w:spacing w:after="120"/>
    </w:pPr>
    <w:r>
      <w:rPr>
        <w:color w:val="595959"/>
        <w:sz w:val="16"/>
        <w:szCs w:val="16"/>
      </w:rPr>
      <w:t xml:space="preserve">22 Bishopsgate, London EC2N 4BQ  ·  +44 (0)20 7946 0100</w:t>
    </w:r>
  </w:p>
  <w:p>
    <w:pPr>
      <w:spacing w:after="80"/>
    </w:pPr>
    <w:r>
      <w:rPr>
        <w:color w:val="808080"/>
        <w:sz w:val="16"/>
        <w:szCs w:val="16"/>
      </w:rPr>
      <w:t xml:space="preserve">Internal Advice — Privileged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 w:type="paragraph" w:styleId="Heading2">
    <w:name w:val="Heading 2"/>
    <w:basedOn w:val="Normal"/>
    <w:next w:val="Normal"/>
    <w:qFormat/>
    <w:pPr>
      <w:spacing w:after="8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2026-06-27T22:15:36.861Z</dcterms:created>
  <dcterms:modified xsi:type="dcterms:W3CDTF">2026-06-27T22:15:36.861Z</dcterms:modified>
</cp:coreProperties>
</file>

<file path=docProps/custom.xml><?xml version="1.0" encoding="utf-8"?>
<Properties xmlns="http://schemas.openxmlformats.org/officeDocument/2006/custom-properties" xmlns:vt="http://schemas.openxmlformats.org/officeDocument/2006/docPropsVTypes"/>
</file>