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THE COMPANIES ACT 2006</w:t>
      </w:r>
    </w:p>
    <w:p>
      <w:pPr>
        <w:jc w:val="center"/>
      </w:pPr>
      <w:r>
        <w:rPr>
          <w:sz w:val="20"/>
          <w:szCs w:val="20"/>
        </w:rPr>
        <w:t xml:space="preserve">PRIVATE COMPANY LIMITED BY SHARES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AMENDED AND RESTATED ARTICLES OF ASSOCIATION</w:t>
      </w:r>
    </w:p>
    <w:p>
      <w:pPr>
        <w:spacing w:after="200"/>
        <w:jc w:val="center"/>
      </w:pPr>
      <w:r>
        <w:rPr>
          <w:sz w:val="20"/>
          <w:szCs w:val="20"/>
        </w:rPr>
        <w:t xml:space="preserve">of BRIGHTWATER ANALYTICS LIMITED (adopted by special resolution on 30 January 2026)</w:t>
      </w:r>
    </w:p>
    <w:p>
      <w:pPr>
        <w:pStyle w:val="Heading1"/>
      </w:pPr>
      <w:r>
        <w:t xml:space="preserve">Share capital and classes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1.1  </w:t>
      </w:r>
      <w:r>
        <w:t xml:space="preserve">The share capital of the Company comprises Ordinary Shares, Series A Preferred Shares and Series B Preferred Shares, each of £0.0001, having the rights set out in these Articles.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1.2  </w:t>
      </w:r>
      <w:r>
        <w:t xml:space="preserve">The Series B Preferred Shares carry the rights as to liquidation preference, anti-dilution, voting and conversion set out below.</w:t>
      </w:r>
    </w:p>
    <w:p>
      <w:pPr>
        <w:pStyle w:val="Heading1"/>
      </w:pPr>
      <w:r>
        <w:t xml:space="preserve">Liquidation preference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2.1  </w:t>
      </w:r>
      <w:r>
        <w:t xml:space="preserve">On a Liquidation Event (including a Sale or winding up), the assets available for distribution shall be applied first in paying to the holders of Series B Shares an amount equal to 1 times the Subscription Price paid for those shares (plus declared but unpaid dividends), then to the holders of Series A Shares the amount of their original subscription, and thereafter the balance to all shareholders pro rata on an as-converted basis.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2.2  </w:t>
      </w:r>
      <w:r>
        <w:t xml:space="preserve">Each holder of Series B Shares may elect to convert into Ordinary Shares and participate pro rata if that would yield a greater return (non-participating with a conversion election).</w:t>
      </w:r>
    </w:p>
    <w:p>
      <w:pPr>
        <w:pStyle w:val="Heading1"/>
      </w:pPr>
      <w:r>
        <w:t xml:space="preserve">Anti-dilution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3.1  </w:t>
      </w:r>
      <w:r>
        <w:t xml:space="preserve">If the Company issues Equity Securities at a price per share less than the Series B Subscription Price, the conversion price applicable to the Series B Shares shall be reduced in accordance with a broad-based weighted average formula, subject to the carve-outs in Article 3.2 (EMI options within the agreed 12% pool, conversions, and bona fide M&amp;A consideration shares approved by the Investor Director).</w:t>
      </w:r>
    </w:p>
    <w:p>
      <w:pPr>
        <w:pStyle w:val="Heading1"/>
      </w:pPr>
      <w:r>
        <w:t xml:space="preserve">Conversion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4.1  </w:t>
      </w:r>
      <w:r>
        <w:t xml:space="preserve">Each Series B Share converts into Ordinary Shares automatically on a Qualifying Listing and at the option of an Investor Majority at any time, at the then-applicable conversion ratio (initially 1:1).</w:t>
      </w:r>
    </w:p>
    <w:p>
      <w:pPr>
        <w:pStyle w:val="Heading1"/>
      </w:pPr>
      <w:r>
        <w:t xml:space="preserve">Voting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5.1  </w:t>
      </w:r>
      <w:r>
        <w:t xml:space="preserve">Subject to the class consents and the Investor consent matters in the Investors’ Rights Agreement, the Series B Shares carry the right to vote with the Ordinary Shares as a single class on an as-converted basis.</w:t>
      </w:r>
    </w:p>
    <w:p>
      <w:pPr>
        <w:pStyle w:val="Heading1"/>
      </w:pPr>
      <w:r>
        <w:t xml:space="preserve">Transfer, pre-emption and leaver provisions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6.1  </w:t>
      </w:r>
      <w:r>
        <w:t xml:space="preserve">Transfers of shares are subject to pre-emption rights in favour of existing members, permitted transfers (to affiliates, family members and trusts), and compulsory transfer provisions applying to a Founder who becomes a leaver. A Good Leaver retains shares vested to the date of cessation; a Bad Leaver may be required to transfer shares at the lower of cost and fair value.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6.2  </w:t>
      </w:r>
      <w:r>
        <w:t xml:space="preserve">Drag-along and tag-along rights apply on a sale of the Company in the manner set out in the Investors’ Rights Agreement.</w:t>
      </w:r>
    </w:p>
    <w:p>
      <w:pPr>
        <w:pStyle w:val="Heading1"/>
      </w:pPr>
      <w:r>
        <w:t xml:space="preserve">Directors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b/>
          <w:bCs/>
        </w:rPr>
        <w:t xml:space="preserve">7.1  </w:t>
      </w:r>
      <w:r>
        <w:t xml:space="preserve">The Company shall have the directors provided for in the Investors’ Rights Agreement, including the Investor Director nominated by the Lead Investor.</w:t>
      </w:r>
    </w:p>
    <w:p>
      <w:pPr>
        <w:spacing w:before="200"/>
      </w:pPr>
      <w:r>
        <w:rPr>
          <w:color w:val="888888"/>
          <w:sz w:val="14"/>
          <w:szCs w:val="14"/>
        </w:rPr>
        <w:t xml:space="preserve">Whitfield Carter LLP is a limited liability partnership registered in England and Wales (registered number OC384112). Confidential and may be legally privileged.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4"/>
        <w:szCs w:val="14"/>
      </w:rPr>
      <w:t xml:space="preserve">Project Marlin — Amended Articles</w:t>
    </w:r>
    <w:r>
      <w:rPr>
        <w:sz w:val="16"/>
        <w:szCs w:val="16"/>
      </w:rPr>
      <w:t xml:space="preserve">	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sz w:val="22"/>
        <w:szCs w:val="22"/>
      </w:rPr>
      <w:t xml:space="preserve">Whitfield Carter LLP</w:t>
    </w:r>
  </w:p>
  <w:p>
    <w:pPr>
      <w:jc w:val="right"/>
    </w:pPr>
    <w:r>
      <w:rPr>
        <w:color w:val="555555"/>
        <w:sz w:val="16"/>
        <w:szCs w:val="16"/>
      </w:rPr>
      <w:t xml:space="preserve">22 Bishopsgate, London EC2N 4BQ</w:t>
    </w:r>
  </w:p>
  <w:p>
    <w:pPr>
      <w:pBdr>
        <w:bottom w:val="single" w:color="1F3864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  <w:lvl w:ilvl="1" w15:tentative="1">
      <w:start w:val="1"/>
      <w:numFmt w:val="decimal"/>
      <w:lvlText w:val="%1.%2"/>
      <w:lvlJc w:val="left"/>
      <w:pPr>
        <w:ind w:left="760" w:hanging="480"/>
      </w:pPr>
    </w:lvl>
    <w:lvl w:ilvl="2" w15:tentative="1">
      <w:start w:val="1"/>
      <w:numFmt w:val="lowerLetter"/>
      <w:lvlText w:val="(%3)"/>
      <w:lvlJc w:val="left"/>
      <w:pPr>
        <w:ind w:left="1140" w:hanging="3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(%1)"/>
      <w:lvlJc w:val="left"/>
      <w:pPr>
        <w:ind w:left="6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2026-06-29T11:24:02.782Z</dcterms:created>
  <dcterms:modified xsi:type="dcterms:W3CDTF">2026-06-29T11:24:02.782Z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