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PROJECT MARLIN — COMPLETION CHECKLIST</w:t>
      </w:r>
    </w:p>
    <w:p>
      <w:pPr>
        <w:spacing w:after="160"/>
        <w:jc w:val="center"/>
      </w:pPr>
      <w:r>
        <w:rPr>
          <w:sz w:val="20"/>
          <w:szCs w:val="20"/>
        </w:rPr>
        <w:t xml:space="preserve">Series B financing of Brightwater Analytics Limited — Completion 30 January 2026</w:t>
      </w:r>
    </w:p>
    <w:p>
      <w:pPr>
        <w:spacing w:after="120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Status key: A = agreed final form; D = in draft; ✓ = executed/delivered at Completion. Responsibility: WC = Whitfield Carter (Company); BS = Birchall Stone (Investor).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200"/>
        <w:gridCol w:w="180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/ step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Subscription Agreement (executed by all parties)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Amended &amp; Restated Articles of Association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Investors’ Rights Agreement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Disclosure Letter and Disclosure Bundle index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Board minutes approving the Transaction (allotment, articles, IRA)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Written shareholder resolutions (special — adopt articles; ordinary — authority to allot; dis-apply pre-emption)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Side letter (Lead Investor)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Funds flow statement (agreed)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 table (pre- and post-money) agreed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Subscription monies received into client account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Updated register of members; share certificates issued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Companies House filings (SH01, articles, resolutions)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Investor KYC / source of funds confirmations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Legal opinion (capacity) — not required for this Transaction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120"/>
        <w:rPr>
          <w:sz w:val="18"/>
          <w:szCs w:val="18"/>
        </w:rPr>
      </w:pPr>
      <w:r>
        <w:rPr>
          <w:sz w:val="18"/>
          <w:szCs w:val="18"/>
        </w:rPr>
        <w:t xml:space="preserve">Post-completion: file SH01 and special resolution (adopting the New Articles) at Companies House within 15 days; update the PSC register; circulate the completion bible.</w:t>
      </w:r>
    </w:p>
    <w:p>
      <w:pPr>
        <w:spacing w:before="200"/>
      </w:pPr>
      <w:r>
        <w:rPr>
          <w:color w:val="888888"/>
          <w:sz w:val="14"/>
          <w:szCs w:val="14"/>
        </w:rPr>
        <w:t xml:space="preserve">Whitfield Carter LLP is a limited liability partnership registered in England and Wales (registered number OC384112). Confidential and may be legally privileged.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4"/>
        <w:szCs w:val="14"/>
      </w:rPr>
      <w:t xml:space="preserve">Project Marlin — Completion Checklist</w:t>
    </w:r>
    <w:r>
      <w:rPr>
        <w:sz w:val="16"/>
        <w:szCs w:val="16"/>
      </w:rPr>
      <w:t xml:space="preserve">	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sz w:val="22"/>
        <w:szCs w:val="22"/>
      </w:rPr>
      <w:t xml:space="preserve">Whitfield Carter LLP</w:t>
    </w:r>
  </w:p>
  <w:p>
    <w:pPr>
      <w:jc w:val="right"/>
    </w:pPr>
    <w:r>
      <w:rPr>
        <w:color w:val="555555"/>
        <w:sz w:val="16"/>
        <w:szCs w:val="16"/>
      </w:rPr>
      <w:t xml:space="preserve">22 Bishopsgate, London EC2N 4BQ</w:t>
    </w:r>
  </w:p>
  <w:p>
    <w:pPr>
      <w:pBdr>
        <w:bottom w:val="single" w:color="1F3864" w:sz="6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480"/>
      </w:pPr>
    </w:lvl>
    <w:lvl w:ilvl="1" w15:tentative="1">
      <w:start w:val="1"/>
      <w:numFmt w:val="decimal"/>
      <w:lvlText w:val="%1.%2"/>
      <w:lvlJc w:val="left"/>
      <w:pPr>
        <w:ind w:left="760" w:hanging="480"/>
      </w:pPr>
    </w:lvl>
    <w:lvl w:ilvl="2" w15:tentative="1">
      <w:start w:val="1"/>
      <w:numFmt w:val="lowerLetter"/>
      <w:lvlText w:val="(%3)"/>
      <w:lvlJc w:val="left"/>
      <w:pPr>
        <w:ind w:left="1140" w:hanging="3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(%1)"/>
      <w:lvlJc w:val="left"/>
      <w:pPr>
        <w:ind w:left="620" w:hanging="4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2026-06-29T11:24:02.766Z</dcterms:created>
  <dcterms:modified xsi:type="dcterms:W3CDTF">2026-06-29T11:24:02.766Z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