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18"/>
          <w:szCs w:val="18"/>
        </w:rPr>
        <w:t xml:space="preserve">23 January 2026</w:t>
      </w:r>
    </w:p>
    <w:p>
      <w:pPr>
        <w:spacing w:after="120"/>
      </w:pPr>
      <w:r>
        <w:t xml:space="preserve">To: the Investors (as defined in the Subscription Agreement)</w:t>
      </w:r>
    </w:p>
    <w:p>
      <w:pPr>
        <w:spacing w:after="120"/>
      </w:pPr>
      <w:r>
        <w:t xml:space="preserve">From: Brightwater Analytics Limited and the Founders (together, the “Warrantors”)</w:t>
      </w:r>
    </w:p>
    <w:p>
      <w:pPr>
        <w:spacing w:after="160"/>
      </w:pPr>
      <w:r>
        <w:rPr>
          <w:b/>
          <w:bCs/>
        </w:rPr>
        <w:t xml:space="preserve">DISCLOSURE LETTER — Project Marlin Series B Subscription Agreement</w:t>
      </w:r>
    </w:p>
    <w:p>
      <w:pPr>
        <w:spacing w:after="120"/>
      </w:pPr>
      <w:r>
        <w:t xml:space="preserve">Dear Sirs</w:t>
      </w:r>
    </w:p>
    <w:p>
      <w:pPr>
        <w:spacing w:after="120"/>
      </w:pPr>
      <w:r>
        <w:t xml:space="preserve">This is the Disclosure Letter referred to in the subscription agreement dated 3 December 2025 relating to the Series B financing of the Company (the “Subscription Agreement”). Terms defined in the Subscription Agreement have the same meaning here. This letter discloses matters which are exceptions to, or qualifications of, the Warranties. The Warranties are given subject to the matters fairly disclosed in this letter and in the documents in the data room (the “Disclosure Bundle”).</w:t>
      </w:r>
    </w:p>
    <w:p>
      <w:pPr>
        <w:pStyle w:val="Heading1"/>
      </w:pPr>
      <w:r>
        <w:t xml:space="preserve">1. General disclosures</w:t>
      </w:r>
    </w:p>
    <w:p>
      <w:pPr>
        <w:spacing w:after="120"/>
      </w:pPr>
      <w:r>
        <w:t xml:space="preserve">The following are disclosed generally against all of the Warranties:</w:t>
      </w:r>
    </w:p>
    <w:p>
      <w:pPr>
        <w:pStyle w:val="ListParagraph"/>
        <w:numPr>
          <w:ilvl w:val="0"/>
          <w:numId w:val="2"/>
        </w:numPr>
        <w:spacing w:after="60"/>
      </w:pPr>
      <w:r>
        <w:t xml:space="preserve">all matters apparent from the Company’s filings at Companies House and from the public registers;</w:t>
      </w:r>
    </w:p>
    <w:p>
      <w:pPr>
        <w:pStyle w:val="ListParagraph"/>
        <w:numPr>
          <w:ilvl w:val="0"/>
          <w:numId w:val="2"/>
        </w:numPr>
        <w:spacing w:after="60"/>
      </w:pPr>
      <w:r>
        <w:t xml:space="preserve">the contents of the Company’s audited accounts for the year ended 31 December 2024 and the management accounts to 30 November 2025;</w:t>
      </w:r>
    </w:p>
    <w:p>
      <w:pPr>
        <w:pStyle w:val="ListParagraph"/>
        <w:numPr>
          <w:ilvl w:val="0"/>
          <w:numId w:val="2"/>
        </w:numPr>
        <w:spacing w:after="60"/>
      </w:pPr>
      <w:r>
        <w:t xml:space="preserve">all documents in the Disclosure Bundle, the index to which is annexed; and</w:t>
      </w:r>
    </w:p>
    <w:p>
      <w:pPr>
        <w:pStyle w:val="ListParagraph"/>
        <w:numPr>
          <w:ilvl w:val="0"/>
          <w:numId w:val="2"/>
        </w:numPr>
        <w:spacing w:after="60"/>
      </w:pPr>
      <w:r>
        <w:t xml:space="preserve">any matter which would be revealed by a search of the Company’s data room conducted with reasonable diligence.</w:t>
      </w:r>
    </w:p>
    <w:p>
      <w:pPr>
        <w:pStyle w:val="Heading1"/>
      </w:pPr>
      <w:r>
        <w:t xml:space="preserve">2. Specific disclosures</w:t>
      </w:r>
    </w:p>
    <w:p>
      <w:pPr>
        <w:spacing w:after="120"/>
      </w:pPr>
      <w:r>
        <w:t xml:space="preserve">The following specific disclosures are made against the numbered Warranties in Schedule 4 to the Subscription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Warranty</w:t>
            </w:r>
          </w:p>
        </w:tc>
        <w:tc>
          <w:tcPr>
            <w:tcW w:type="dxa" w:w="6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Disclosure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Part A, para 3 (IP)</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Two open-source components (an Apache-2.0 licensed library and an MIT licensed library) are incorporated into the platform; both are used in compliance with their licences. The Company’s registered trade mark application for “Brightwater” (UK00003876541) is pending and has not yet proceeded to registration.</w:t>
            </w:r>
          </w:p>
        </w:tc>
      </w:tr>
      <w:tr>
        <w:trPr>
          <w:tblHeader w:val="false"/>
        </w:trPr>
        <w:tc>
          <w:tcPr>
            <w:tcW w:type="dxa" w:w="24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Part A, para 4 (litigation)</w:t>
            </w:r>
          </w:p>
        </w:tc>
        <w:tc>
          <w:tcPr>
            <w:tcW w:type="dxa" w:w="69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A former contractor, Mr R. Halligan, has intimated a claim for unpaid invoices of £18,400. The Company disputes the claim and considers it without merit; no proceedings have been issued.</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Part A, para 6 (no material change)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Monthly recurring revenue dipped in October 2025 following the non-renewal of one mid-size customer (annual value £96,000); this is disclosed and reflected in the management accounts.</w:t>
            </w:r>
          </w:p>
        </w:tc>
      </w:tr>
      <w:tr>
        <w:trPr>
          <w:tblHeader w:val="false"/>
        </w:trPr>
        <w:tc>
          <w:tcPr>
            <w:tcW w:type="dxa" w:w="24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Part A, para 7 (data protection)</w:t>
            </w:r>
          </w:p>
        </w:tc>
        <w:tc>
          <w:tcPr>
            <w:tcW w:type="dxa" w:w="69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A minor personal-data incident occurred in August 2025 (an email sent to the wrong insurer contact); it was assessed as not reportable to the ICO and remediated. The data processing addendum with one customer (Pennine Mutual Insurance plc) remains in the course of re-signature.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Part A, para 8 (customers)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The contract with the Company’s second-largest customer expires in June 2026 and is in renewal discussions; no notice of termination has been given.</w:t>
            </w:r>
          </w:p>
        </w:tc>
      </w:tr>
      <w:tr>
        <w:trPr>
          <w:tblHeader w:val="false"/>
        </w:trPr>
        <w:tc>
          <w:tcPr>
            <w:tcW w:type="dxa" w:w="24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Part B, para 4 (EMI)</w:t>
            </w:r>
          </w:p>
        </w:tc>
        <w:tc>
          <w:tcPr>
            <w:tcW w:type="dxa" w:w="69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The EMI valuation agreed with HMRC dates from March 2024; options granted since the Series B term sheet (covering 14,000 shares) have not yet been the subject of a fresh valuation.</w:t>
            </w:r>
          </w:p>
        </w:tc>
      </w:tr>
    </w:tbl>
    <w:p>
      <w:pPr>
        <w:spacing w:after="120"/>
      </w:pPr>
      <w:r>
        <w:t xml:space="preserve">This letter is given subject to the limitations on liability in clause 8 of the Subscription Agreement. Yours faithfully,</w:t>
      </w:r>
    </w:p>
    <w:p>
      <w:pPr>
        <w:spacing w:before="200"/>
      </w:pPr>
      <w:r>
        <w:t xml:space="preserve">____________________   For and on behalf of Brightwater Analytics Limited and the Founders</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Disclosure Letter</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2026-06-29T11:24:02.744Z</dcterms:created>
  <dcterms:modified xsi:type="dcterms:W3CDTF">2026-06-29T11:24:02.744Z</dcterms:modified>
</cp:coreProperties>
</file>

<file path=docProps/custom.xml><?xml version="1.0" encoding="utf-8"?>
<Properties xmlns="http://schemas.openxmlformats.org/officeDocument/2006/custom-properties" xmlns:vt="http://schemas.openxmlformats.org/officeDocument/2006/docPropsVTypes"/>
</file>