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18"/>
          <w:szCs w:val="18"/>
        </w:rPr>
        <w:t xml:space="preserve">14 November 2025</w:t>
      </w:r>
    </w:p>
    <w:p>
      <w:pPr>
        <w:spacing w:after="120"/>
        <w:rPr>
          <w:i/>
          <w:iCs/>
        </w:rPr>
      </w:pPr>
      <w:r>
        <w:rPr>
          <w:i/>
          <w:iCs/>
        </w:rPr>
        <w:t xml:space="preserve">Strictly private and confidential</w:t>
      </w:r>
    </w:p>
    <w:p>
      <w:pPr>
        <w:spacing w:after="120"/>
      </w:pPr>
      <w:r>
        <w:t xml:space="preserve">Ms Nadia Forsyth</w:t>
      </w:r>
    </w:p>
    <w:p>
      <w:pPr>
        <w:spacing w:after="120"/>
      </w:pPr>
      <w:r>
        <w:t xml:space="preserve">Chief Executive Officer</w:t>
      </w:r>
    </w:p>
    <w:p>
      <w:pPr>
        <w:spacing w:after="120"/>
      </w:pPr>
      <w:r>
        <w:t xml:space="preserve">Brightwater Analytics Limited</w:t>
      </w:r>
    </w:p>
    <w:p>
      <w:pPr>
        <w:spacing w:after="120"/>
      </w:pPr>
      <w:r>
        <w:t xml:space="preserve">8 Carlow Street, London NW1 7LH</w:t>
      </w:r>
    </w:p>
    <w:p>
      <w:pPr>
        <w:spacing w:after="160" w:before="160"/>
      </w:pPr>
      <w:r>
        <w:t xml:space="preserve">Dear Nadia</w:t>
      </w:r>
    </w:p>
    <w:p>
      <w:pPr>
        <w:spacing w:after="160"/>
      </w:pPr>
      <w:r>
        <w:rPr>
          <w:b/>
          <w:bCs/>
        </w:rPr>
        <w:t xml:space="preserve">Project Marlin — Series B equity financing of Brightwater Analytics Limited</w:t>
      </w:r>
    </w:p>
    <w:p>
      <w:pPr>
        <w:spacing w:after="120"/>
      </w:pPr>
      <w:r>
        <w:t xml:space="preserve">Thank you for instructing Whitfield Carter LLP in connection with the proposed Series B financing of the Company by Westbridge Growth Capital LLP and certain existing investors (the “Transaction”). This letter, together with our enclosed standard terms of business, sets out the basis on which we will act for the Company.</w:t>
      </w:r>
    </w:p>
    <w:p>
      <w:pPr>
        <w:pStyle w:val="Heading2"/>
      </w:pPr>
      <w:r>
        <w:t xml:space="preserve">1. Scope of our engagement</w:t>
      </w:r>
    </w:p>
    <w:p>
      <w:pPr>
        <w:spacing w:after="120"/>
      </w:pPr>
      <w:r>
        <w:t xml:space="preserve">We will advise the Company on the following matters:</w:t>
      </w:r>
    </w:p>
    <w:p>
      <w:pPr>
        <w:pStyle w:val="ListParagraph"/>
        <w:numPr>
          <w:ilvl w:val="0"/>
          <w:numId w:val="2"/>
        </w:numPr>
        <w:spacing w:after="60"/>
      </w:pPr>
      <w:r>
        <w:t xml:space="preserve">reviewing and negotiating the Series B term sheet dated 12 November 2025;</w:t>
      </w:r>
    </w:p>
    <w:p>
      <w:pPr>
        <w:pStyle w:val="ListParagraph"/>
        <w:numPr>
          <w:ilvl w:val="0"/>
          <w:numId w:val="2"/>
        </w:numPr>
        <w:spacing w:after="60"/>
      </w:pPr>
      <w:r>
        <w:t xml:space="preserve">preparing and negotiating the subscription agreement, the amended and restated articles of association and the shareholders’ / investors’ rights agreement;</w:t>
      </w:r>
    </w:p>
    <w:p>
      <w:pPr>
        <w:pStyle w:val="ListParagraph"/>
        <w:numPr>
          <w:ilvl w:val="0"/>
          <w:numId w:val="2"/>
        </w:numPr>
        <w:spacing w:after="60"/>
      </w:pPr>
      <w:r>
        <w:t xml:space="preserve">preparing the disclosure letter against the warranties and assisting with the disclosure exercise;</w:t>
      </w:r>
    </w:p>
    <w:p>
      <w:pPr>
        <w:pStyle w:val="ListParagraph"/>
        <w:numPr>
          <w:ilvl w:val="0"/>
          <w:numId w:val="2"/>
        </w:numPr>
        <w:spacing w:after="60"/>
      </w:pPr>
      <w:r>
        <w:t xml:space="preserve">preparing board and shareholder resolutions, the funds flow and the completion checklist; and</w:t>
      </w:r>
    </w:p>
    <w:p>
      <w:pPr>
        <w:pStyle w:val="ListParagraph"/>
        <w:numPr>
          <w:ilvl w:val="0"/>
          <w:numId w:val="2"/>
        </w:numPr>
        <w:spacing w:after="60"/>
      </w:pPr>
      <w:r>
        <w:t xml:space="preserve">advising on conditions to completion and managing signing and completion.</w:t>
      </w:r>
    </w:p>
    <w:p>
      <w:pPr>
        <w:spacing w:after="120"/>
      </w:pPr>
      <w:r>
        <w:t xml:space="preserve">Our engagement does not extend to tax structuring advice (on which Marlow Tax &amp; Advisory Ltd is separately engaged), to advice on the EMI option pool valuation, or to advice on the laws of any jurisdiction other than England and Wales.</w:t>
      </w:r>
    </w:p>
    <w:p>
      <w:pPr>
        <w:pStyle w:val="Heading2"/>
      </w:pPr>
      <w:r>
        <w:t xml:space="preserve">2. Our team and fees</w:t>
      </w:r>
    </w:p>
    <w:p>
      <w:pPr>
        <w:spacing w:after="120"/>
      </w:pPr>
      <w:r>
        <w:t xml:space="preserve">The matter will be led by Sarah Whitfield (Partner) with day-to-day conduct by James Osei (Senior Associate) and support from Elena Marchetti (Associate). Our current hourly rates are £720 (Partner), £480 (Senior Associate) and £320 (Associate), exclusive of VAT and disbursements.</w:t>
      </w:r>
    </w:p>
    <w:p>
      <w:pPr>
        <w:spacing w:after="120"/>
      </w:pPr>
      <w:r>
        <w:t xml:space="preserve">Based on a transaction of this size and complexity we estimate our fees for the Transaction in the region of £95,000 to £120,000 plus VAT and disbursements, assuming a single round of negotiation on the principal documents and completion by the end of January 2026. We will notify you promptly if it appears the estimate will be materially exceeded.</w:t>
      </w:r>
    </w:p>
    <w:p>
      <w:pPr>
        <w:pStyle w:val="Heading2"/>
      </w:pPr>
      <w:r>
        <w:t xml:space="preserve">3. Client and conflicts</w:t>
      </w:r>
    </w:p>
    <w:p>
      <w:pPr>
        <w:spacing w:after="120"/>
      </w:pPr>
      <w:r>
        <w:t xml:space="preserve">Our client is the Company. We do not act for the founders, the directors or any investor individually. We have carried out a conflicts check and are not aware of any conflict that would prevent us acting. The investor is separately represented by Birchall Stone LLP.</w:t>
      </w:r>
    </w:p>
    <w:p>
      <w:pPr>
        <w:pStyle w:val="Heading2"/>
      </w:pPr>
      <w:r>
        <w:t xml:space="preserve">4. Confidentiality and money laundering</w:t>
      </w:r>
    </w:p>
    <w:p>
      <w:pPr>
        <w:spacing w:after="120"/>
      </w:pPr>
      <w:r>
        <w:t xml:space="preserve">We will keep your affairs confidential. We are required to verify the identity of the Company and its beneficial owners and may need further information for that purpose.</w:t>
      </w:r>
    </w:p>
    <w:p>
      <w:pPr>
        <w:spacing w:after="120"/>
      </w:pPr>
      <w:r>
        <w:t xml:space="preserve">Please confirm your agreement to these terms by signing and returning the enclosed copy of this letter. We are delighted to be working with you on Project Marlin.</w:t>
      </w:r>
    </w:p>
    <w:p>
      <w:pPr>
        <w:spacing w:before="200"/>
      </w:pPr>
      <w:r>
        <w:t xml:space="preserve">Yours sincerely</w:t>
      </w:r>
    </w:p>
    <w:p>
      <w:pPr>
        <w:spacing w:after="0" w:before="240"/>
      </w:pPr>
      <w:r>
        <w:t xml:space="preserve">________________________________</w:t>
      </w:r>
    </w:p>
    <w:p>
      <w:pPr>
        <w:spacing w:after="120"/>
      </w:pPr>
      <w:r>
        <w:t xml:space="preserve">Sarah Whitfield</w:t>
      </w:r>
    </w:p>
    <w:p>
      <w:pPr>
        <w:spacing w:after="120"/>
      </w:pPr>
      <w:r>
        <w:t xml:space="preserve">Partner, Whitfield Carter LLP</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Engagement Letter</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lvl w:ilvl="3" w15:tentative="1">
      <w:start w:val="1"/>
      <w:numFmt w:val="lowerRoman"/>
      <w:lvlText w:val="(%4)"/>
      <w:lvlJc w:val="left"/>
      <w:pPr>
        <w:ind w:left="1500" w:hanging="36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2026-06-29T11:23:49.156Z</dcterms:created>
  <dcterms:modified xsi:type="dcterms:W3CDTF">2026-06-29T11:23:49.156Z</dcterms:modified>
</cp:coreProperties>
</file>

<file path=docProps/custom.xml><?xml version="1.0" encoding="utf-8"?>
<Properties xmlns="http://schemas.openxmlformats.org/officeDocument/2006/custom-properties" xmlns:vt="http://schemas.openxmlformats.org/officeDocument/2006/docPropsVTypes"/>
</file>