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sz w:val="36"/>
          <w:szCs w:val="36"/>
        </w:rPr>
        <w:t xml:space="preserve">INVESTORS’ RIGHTS AGREEMENT</w:t>
      </w:r>
    </w:p>
    <w:p>
      <w:pPr>
        <w:spacing w:after="800"/>
        <w:jc w:val="center"/>
      </w:pPr>
      <w:r>
        <w:rPr>
          <w:sz w:val="24"/>
          <w:szCs w:val="24"/>
        </w:rPr>
        <w:t xml:space="preserve">relating to Brightwater Analytics Limited</w:t>
      </w:r>
    </w:p>
    <w:p>
      <w:pPr>
        <w:jc w:val="center"/>
      </w:pPr>
      <w:r>
        <w:rPr>
          <w:sz w:val="18"/>
          <w:szCs w:val="18"/>
        </w:rPr>
        <w:t xml:space="preserve">(1) THE COMPANY   (2) THE FOUNDERS   (3) THE INVESTORS</w:t>
      </w:r>
    </w:p>
    <w:p>
      <w:r>
        <w:br w:type="page"/>
      </w:r>
    </w:p>
    <w:p>
      <w:pPr>
        <w:spacing w:after="120"/>
      </w:pPr>
      <w:r>
        <w:t xml:space="preserve">THIS AGREEMENT is made on 30 January 2026 between the Company, the Founders and the Investors (together the “Parties”). It regulates the relationship between the shareholders following the Series B financing and is to be read together with the New Articles. In the event of conflict between this Agreement and the New Articles as between the Parties, this Agreement prevails.</w:t>
      </w:r>
    </w:p>
    <w:p>
      <w:pPr>
        <w:pStyle w:val="Heading1"/>
      </w:pPr>
      <w:r>
        <w:t xml:space="preserve">Information rights</w:t>
      </w:r>
    </w:p>
    <w:p>
      <w:pPr>
        <w:pStyle w:val="ListParagraph"/>
        <w:numPr>
          <w:ilvl w:val="1"/>
          <w:numId w:val="2"/>
        </w:numPr>
        <w:spacing w:after="100"/>
      </w:pPr>
      <w:r>
        <w:rPr>
          <w:b/>
          <w:bCs/>
        </w:rPr>
        <w:t xml:space="preserve">1.1  </w:t>
      </w:r>
      <w:r>
        <w:t xml:space="preserve">The Company shall provide to each Investor holding not less than 2% of the shares: (a) monthly management accounts within 20 Business Days of month-end; (b) an annual budget and business plan at least 30 days before the start of each financial year; and (c) audited accounts within 6 months of the financial year-end.</w:t>
      </w:r>
    </w:p>
    <w:p>
      <w:pPr>
        <w:pStyle w:val="ListParagraph"/>
        <w:numPr>
          <w:ilvl w:val="1"/>
          <w:numId w:val="2"/>
        </w:numPr>
        <w:spacing w:after="100"/>
      </w:pPr>
      <w:r>
        <w:rPr>
          <w:b/>
          <w:bCs/>
        </w:rPr>
        <w:t xml:space="preserve">1.2  </w:t>
      </w:r>
      <w:r>
        <w:t xml:space="preserve">The Lead Investor may appoint one person to attend and speak (but not vote) at meetings of the board as an observer for so long as it holds at least 5% of the shares.</w:t>
      </w:r>
    </w:p>
    <w:p>
      <w:pPr>
        <w:pStyle w:val="Heading1"/>
      </w:pPr>
      <w:r>
        <w:t xml:space="preserve">Board composition</w:t>
      </w:r>
    </w:p>
    <w:p>
      <w:pPr>
        <w:pStyle w:val="ListParagraph"/>
        <w:numPr>
          <w:ilvl w:val="1"/>
          <w:numId w:val="2"/>
        </w:numPr>
        <w:spacing w:after="100"/>
      </w:pPr>
      <w:r>
        <w:rPr>
          <w:b/>
          <w:bCs/>
        </w:rPr>
        <w:t xml:space="preserve">2.1  </w:t>
      </w:r>
      <w:r>
        <w:t xml:space="preserve">The board shall comprise no more than four directors: (a) two directors nominated by the Founders (the “Founder Directors”); (b) one director nominated by the Lead Investor (the “Investor Director”); and (c) one independent non-executive director approved by the board including the Investor Director.</w:t>
      </w:r>
    </w:p>
    <w:p>
      <w:pPr>
        <w:pStyle w:val="ListParagraph"/>
        <w:numPr>
          <w:ilvl w:val="1"/>
          <w:numId w:val="2"/>
        </w:numPr>
        <w:spacing w:after="100"/>
      </w:pPr>
      <w:r>
        <w:rPr>
          <w:b/>
          <w:bCs/>
        </w:rPr>
        <w:t xml:space="preserve">2.2  </w:t>
      </w:r>
      <w:r>
        <w:t xml:space="preserve">The chair shall be a Founder Director. The chair shall not have a second or casting vote.</w:t>
      </w:r>
    </w:p>
    <w:p>
      <w:pPr>
        <w:pStyle w:val="ListParagraph"/>
        <w:numPr>
          <w:ilvl w:val="1"/>
          <w:numId w:val="2"/>
        </w:numPr>
        <w:spacing w:after="100"/>
      </w:pPr>
      <w:r>
        <w:rPr>
          <w:b/>
          <w:bCs/>
        </w:rPr>
        <w:t xml:space="preserve">2.3  </w:t>
      </w:r>
      <w:r>
        <w:t xml:space="preserve">The quorum for a board meeting is three directors and must include the Investor Director, save that if a meeting is inquorate solely because the Investor Director is absent, it may be adjourned and reconvened 5 Business Days later when the Investor Director need not be present.</w:t>
      </w:r>
    </w:p>
    <w:p>
      <w:pPr>
        <w:pStyle w:val="Heading1"/>
      </w:pPr>
      <w:r>
        <w:t xml:space="preserve">Investor consent matters</w:t>
      </w:r>
    </w:p>
    <w:p>
      <w:pPr>
        <w:pStyle w:val="ListParagraph"/>
        <w:numPr>
          <w:ilvl w:val="1"/>
          <w:numId w:val="2"/>
        </w:numPr>
        <w:spacing w:after="100"/>
      </w:pPr>
      <w:r>
        <w:rPr>
          <w:b/>
          <w:bCs/>
        </w:rPr>
        <w:t xml:space="preserve">3.1  </w:t>
      </w:r>
      <w:r>
        <w:t xml:space="preserve">The Company shall not, and the Founders shall procure that the Company shall not, do any of the following without the prior written consent of an Investor Majority (which must include the Lead Investor):</w:t>
      </w:r>
    </w:p>
    <w:p>
      <w:pPr>
        <w:pStyle w:val="ListParagraph"/>
        <w:numPr>
          <w:ilvl w:val="2"/>
          <w:numId w:val="2"/>
        </w:numPr>
        <w:spacing w:after="80"/>
      </w:pPr>
      <w:r>
        <w:t xml:space="preserve">alter the share capital of the Company or the rights attaching to any shares, or adopt new articles;</w:t>
      </w:r>
    </w:p>
    <w:p>
      <w:pPr>
        <w:pStyle w:val="ListParagraph"/>
        <w:numPr>
          <w:ilvl w:val="2"/>
          <w:numId w:val="2"/>
        </w:numPr>
        <w:spacing w:after="80"/>
      </w:pPr>
      <w:r>
        <w:t xml:space="preserve">create, allot or issue any shares or grant any option over shares (other than options under the agreed EMI pool of 12%);</w:t>
      </w:r>
    </w:p>
    <w:p>
      <w:pPr>
        <w:pStyle w:val="ListParagraph"/>
        <w:numPr>
          <w:ilvl w:val="2"/>
          <w:numId w:val="2"/>
        </w:numPr>
        <w:spacing w:after="80"/>
      </w:pPr>
      <w:r>
        <w:t xml:space="preserve">declare or pay any dividend or make any other distribution;</w:t>
      </w:r>
    </w:p>
    <w:p>
      <w:pPr>
        <w:pStyle w:val="ListParagraph"/>
        <w:numPr>
          <w:ilvl w:val="2"/>
          <w:numId w:val="2"/>
        </w:numPr>
        <w:spacing w:after="80"/>
      </w:pPr>
      <w:r>
        <w:t xml:space="preserve">borrow, or grant security over its assets, in excess of £250,000 in aggregate;</w:t>
      </w:r>
    </w:p>
    <w:p>
      <w:pPr>
        <w:pStyle w:val="ListParagraph"/>
        <w:numPr>
          <w:ilvl w:val="2"/>
          <w:numId w:val="2"/>
        </w:numPr>
        <w:spacing w:after="80"/>
      </w:pPr>
      <w:r>
        <w:t xml:space="preserve">enter into any transaction with a related party otherwise than on arm’s-length terms;</w:t>
      </w:r>
    </w:p>
    <w:p>
      <w:pPr>
        <w:pStyle w:val="ListParagraph"/>
        <w:numPr>
          <w:ilvl w:val="2"/>
          <w:numId w:val="2"/>
        </w:numPr>
        <w:spacing w:after="80"/>
      </w:pPr>
      <w:r>
        <w:t xml:space="preserve">sell the whole or a material part of the business, or effect a Sale or Listing;</w:t>
      </w:r>
    </w:p>
    <w:p>
      <w:pPr>
        <w:pStyle w:val="ListParagraph"/>
        <w:numPr>
          <w:ilvl w:val="2"/>
          <w:numId w:val="2"/>
        </w:numPr>
        <w:spacing w:after="80"/>
      </w:pPr>
      <w:r>
        <w:t xml:space="preserve">appoint or remove the auditors or change the accounting reference date or accounting policies;</w:t>
      </w:r>
    </w:p>
    <w:p>
      <w:pPr>
        <w:pStyle w:val="ListParagraph"/>
        <w:numPr>
          <w:ilvl w:val="2"/>
          <w:numId w:val="2"/>
        </w:numPr>
        <w:spacing w:after="80"/>
      </w:pPr>
      <w:r>
        <w:t xml:space="preserve">approve or materially amend the annual budget;</w:t>
      </w:r>
    </w:p>
    <w:p>
      <w:pPr>
        <w:pStyle w:val="ListParagraph"/>
        <w:numPr>
          <w:ilvl w:val="2"/>
          <w:numId w:val="2"/>
        </w:numPr>
        <w:spacing w:after="80"/>
      </w:pPr>
      <w:r>
        <w:t xml:space="preserve">make any single capital commitment in excess of £200,000 not provided for in the budget; or</w:t>
      </w:r>
    </w:p>
    <w:p>
      <w:pPr>
        <w:pStyle w:val="ListParagraph"/>
        <w:numPr>
          <w:ilvl w:val="2"/>
          <w:numId w:val="2"/>
        </w:numPr>
        <w:spacing w:after="80"/>
      </w:pPr>
      <w:r>
        <w:t xml:space="preserve">wind up or commence any insolvency process in respect of the Company.</w:t>
      </w:r>
    </w:p>
    <w:p>
      <w:pPr>
        <w:pStyle w:val="Heading1"/>
      </w:pPr>
      <w:r>
        <w:t xml:space="preserve">Pre-emption on new issues</w:t>
      </w:r>
    </w:p>
    <w:p>
      <w:pPr>
        <w:pStyle w:val="ListParagraph"/>
        <w:numPr>
          <w:ilvl w:val="1"/>
          <w:numId w:val="2"/>
        </w:numPr>
        <w:spacing w:after="100"/>
      </w:pPr>
      <w:r>
        <w:rPr>
          <w:b/>
          <w:bCs/>
        </w:rPr>
        <w:t xml:space="preserve">4.1  </w:t>
      </w:r>
      <w:r>
        <w:t xml:space="preserve">Save for Permitted Issues, new shares shall first be offered to existing shareholders pro rata to their holdings on an as-converted basis, on the same terms, with a minimum acceptance period of 15 Business Days.</w:t>
      </w:r>
    </w:p>
    <w:p>
      <w:pPr>
        <w:pStyle w:val="Heading1"/>
      </w:pPr>
      <w:r>
        <w:t xml:space="preserve">Transfers, drag and tag</w:t>
      </w:r>
    </w:p>
    <w:p>
      <w:pPr>
        <w:pStyle w:val="ListParagraph"/>
        <w:numPr>
          <w:ilvl w:val="1"/>
          <w:numId w:val="2"/>
        </w:numPr>
        <w:spacing w:after="100"/>
      </w:pPr>
      <w:r>
        <w:rPr>
          <w:b/>
          <w:bCs/>
        </w:rPr>
        <w:t xml:space="preserve">5.1  </w:t>
      </w:r>
      <w:r>
        <w:t xml:space="preserve">No shareholder may transfer shares except in accordance with the New Articles, which contain customary pre-emption on transfer, permitted transfers to affiliates and family trusts, leaver provisions for the Founders and good/bad leaver share valuations.</w:t>
      </w:r>
    </w:p>
    <w:p>
      <w:pPr>
        <w:pStyle w:val="ListParagraph"/>
        <w:numPr>
          <w:ilvl w:val="1"/>
          <w:numId w:val="2"/>
        </w:numPr>
        <w:spacing w:after="100"/>
      </w:pPr>
      <w:r>
        <w:rPr>
          <w:b/>
          <w:bCs/>
        </w:rPr>
        <w:t xml:space="preserve">5.2  </w:t>
      </w:r>
      <w:r>
        <w:t xml:space="preserve">If holders of more than 70% of the shares (including the Lead Investor) accept a bona fide offer for the entire issued share capital, they may require all other shareholders to sell on the same terms (drag-along). Minority holders have a corresponding right to participate (tag-along).</w:t>
      </w:r>
    </w:p>
    <w:p>
      <w:pPr>
        <w:pStyle w:val="ListParagraph"/>
        <w:numPr>
          <w:ilvl w:val="1"/>
          <w:numId w:val="2"/>
        </w:numPr>
        <w:spacing w:after="100"/>
      </w:pPr>
      <w:r>
        <w:rPr>
          <w:b/>
          <w:bCs/>
        </w:rPr>
        <w:t xml:space="preserve">5.3  </w:t>
      </w:r>
      <w:r>
        <w:t xml:space="preserve">On a Sale or Listing, the Series B Shares carry a 1x non-participating liquidation preference and the proceeds shall be applied in the order set out in the New Articles.</w:t>
      </w:r>
    </w:p>
    <w:p>
      <w:pPr>
        <w:pStyle w:val="Heading1"/>
      </w:pPr>
      <w:r>
        <w:t xml:space="preserve">Anti-dilution</w:t>
      </w:r>
    </w:p>
    <w:p>
      <w:pPr>
        <w:pStyle w:val="ListParagraph"/>
        <w:numPr>
          <w:ilvl w:val="1"/>
          <w:numId w:val="2"/>
        </w:numPr>
        <w:spacing w:after="100"/>
      </w:pPr>
      <w:r>
        <w:rPr>
          <w:b/>
          <w:bCs/>
        </w:rPr>
        <w:t xml:space="preserve">6.1  </w:t>
      </w:r>
      <w:r>
        <w:t xml:space="preserve">If the Company issues shares at a price per share less than the Subscription Price (a “Down Round”), the conversion price of the Series B Shares shall be adjusted on a broad-based weighted average basis in accordance with the formula in the New Articles, subject to customary carve-outs (EMI options, conversions, bona fide acquisitions approved by the Investor Director).</w:t>
      </w:r>
    </w:p>
    <w:p>
      <w:pPr>
        <w:pStyle w:val="Heading1"/>
      </w:pPr>
      <w:r>
        <w:t xml:space="preserve">Founder commitments and vesting</w:t>
      </w:r>
    </w:p>
    <w:p>
      <w:pPr>
        <w:pStyle w:val="ListParagraph"/>
        <w:numPr>
          <w:ilvl w:val="1"/>
          <w:numId w:val="2"/>
        </w:numPr>
        <w:spacing w:after="100"/>
      </w:pPr>
      <w:r>
        <w:rPr>
          <w:b/>
          <w:bCs/>
        </w:rPr>
        <w:t xml:space="preserve">7.1  </w:t>
      </w:r>
      <w:r>
        <w:t xml:space="preserve">Each Founder shall devote substantially the whole of his or her time to the Company and is subject to leaver provisions under which a proportion of his or her shares may be subject to compulsory transfer at varying prices depending on whether the Founder is a good leaver or a bad leaver, as set out in the New Articles.</w:t>
      </w:r>
    </w:p>
    <w:p>
      <w:pPr>
        <w:pStyle w:val="ListParagraph"/>
        <w:numPr>
          <w:ilvl w:val="1"/>
          <w:numId w:val="2"/>
        </w:numPr>
        <w:spacing w:after="100"/>
      </w:pPr>
      <w:r>
        <w:rPr>
          <w:b/>
          <w:bCs/>
        </w:rPr>
        <w:t xml:space="preserve">7.2  </w:t>
      </w:r>
      <w:r>
        <w:t xml:space="preserve">Each Founder is subject to restrictive covenants not to compete with, or solicit the customers or employees of, the Company for 12 months after ceasing to hold shares.</w:t>
      </w:r>
    </w:p>
    <w:p>
      <w:pPr>
        <w:pStyle w:val="Heading1"/>
      </w:pPr>
      <w:r>
        <w:t xml:space="preserve">Confidentiality, costs and boilerplate</w:t>
      </w:r>
    </w:p>
    <w:p>
      <w:pPr>
        <w:pStyle w:val="ListParagraph"/>
        <w:numPr>
          <w:ilvl w:val="1"/>
          <w:numId w:val="2"/>
        </w:numPr>
        <w:spacing w:after="100"/>
      </w:pPr>
      <w:r>
        <w:rPr>
          <w:b/>
          <w:bCs/>
        </w:rPr>
        <w:t xml:space="preserve">8.1  </w:t>
      </w:r>
      <w:r>
        <w:t xml:space="preserve">Each Party shall keep the terms of this Agreement confidential save as required by law or to its professional advisers and (in the case of an Investor) its limited partners on a confidential basis.</w:t>
      </w:r>
    </w:p>
    <w:p>
      <w:pPr>
        <w:pStyle w:val="ListParagraph"/>
        <w:numPr>
          <w:ilvl w:val="1"/>
          <w:numId w:val="2"/>
        </w:numPr>
        <w:spacing w:after="100"/>
      </w:pPr>
      <w:r>
        <w:rPr>
          <w:b/>
          <w:bCs/>
        </w:rPr>
        <w:t xml:space="preserve">8.2  </w:t>
      </w:r>
      <w:r>
        <w:t xml:space="preserve">This Agreement may be executed in counterparts, is governed by the law of England and Wales and the Parties submit to the exclusive jurisdiction of the courts of England and Wales. A person who is not a Party has no rights under the Contracts (Rights of Third Parties) Act 1999, save that a future investor who executes a deed of adherence may enforce its terms.</w:t>
      </w:r>
    </w:p>
    <w:p>
      <w:pPr>
        <w:spacing w:before="240"/>
      </w:pPr>
      <w:r>
        <w:rPr>
          <w:b/>
          <w:bCs/>
        </w:rPr>
        <w:t xml:space="preserve">Executed by the Parties on the date first stated above.</w:t>
      </w:r>
    </w:p>
    <w:p>
      <w:pPr>
        <w:spacing w:after="120"/>
      </w:pPr>
      <w:r>
        <w:t xml:space="preserve">Signed for Brightwater Analytics Limited:  ____________________  Nadia Forsyth, Director</w:t>
      </w:r>
    </w:p>
    <w:p>
      <w:pPr>
        <w:spacing w:after="120"/>
      </w:pPr>
      <w:r>
        <w:t xml:space="preserve">Signed by the Founders:  ____________________  Nadia Forsyth     ____________________  Theo Eriksson</w:t>
      </w:r>
    </w:p>
    <w:p>
      <w:pPr>
        <w:spacing w:after="120"/>
      </w:pPr>
      <w:r>
        <w:t xml:space="preserve">Signed for Westbridge Growth Capital LLP:  ____________________  Rosalind Whitaker, Partner</w:t>
      </w:r>
    </w:p>
    <w:p>
      <w:pPr>
        <w:spacing w:after="120"/>
      </w:pPr>
      <w:r>
        <w:t xml:space="preserve">Signed for Ravensworth Ventures LLP:  ____________________  Victor Underwood, Managing Partner</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Investors' Rights Agreement</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2026-06-29T11:24:02.726Z</dcterms:created>
  <dcterms:modified xsi:type="dcterms:W3CDTF">2026-06-29T11:24:02.726Z</dcterms:modified>
</cp:coreProperties>
</file>

<file path=docProps/custom.xml><?xml version="1.0" encoding="utf-8"?>
<Properties xmlns="http://schemas.openxmlformats.org/officeDocument/2006/custom-properties" xmlns:vt="http://schemas.openxmlformats.org/officeDocument/2006/docPropsVTypes"/>
</file>