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SERIES B PRELIMINARY TERM SHEET</w:t>
      </w:r>
    </w:p>
    <w:p>
      <w:pPr>
        <w:spacing w:after="160"/>
        <w:jc w:val="center"/>
      </w:pPr>
      <w:r>
        <w:rPr>
          <w:sz w:val="22"/>
          <w:szCs w:val="22"/>
        </w:rPr>
        <w:t xml:space="preserve">Project Marlin — Brightwater Analytics Limited</w:t>
      </w:r>
    </w:p>
    <w:p>
      <w:pPr>
        <w:spacing w:after="120"/>
        <w:rPr>
          <w:i/>
          <w:iCs/>
        </w:rPr>
      </w:pPr>
      <w:r>
        <w:rPr>
          <w:i/>
          <w:iCs/>
        </w:rPr>
        <w:t xml:space="preserve">Dated 12 November 2025. This term sheet is a summary of the principal terms of the proposed Series B financing of Brightwater Analytics Limited (the “Company”). Save for the sections headed “Exclusivity”, “Costs” and “Confidentiality” (which are binding), it is not legally binding and is subject to contract, satisfactory due diligence and final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Item</w:t>
            </w:r>
          </w:p>
        </w:tc>
        <w:tc>
          <w:tcPr>
            <w:tcW w:type="dxa" w:w="6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Terms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Company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Brightwater Analytics Limited (registered no. 10894522)</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Round</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Series B preferred equity</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Amount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£18,000,000 in aggregate</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Lead Investor</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Westbridge Growth Capital LLP (investing £15,000,000 through Westbridge Growth Fund III LP)</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Other Investors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Ravensworth Ventures LLP £2,000,000 (existing); existing angels £1,000,000</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Pre-money valuation</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£62,000,000 (fully diluted, including the enlarged option pool)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Post-money valuation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£80,000,000</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Price per Series B Share</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£16.07</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New Series B Shares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1,119,847 Series B Preferred Shares</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Option pool</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12% of fully-diluted post-money share capital, created/topped-up pre-money</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Liquidation preference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1x non-participating, with a right to convert to ordinary</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Anti-dilution</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broad-based weighted average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Dividends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Non-cumulative; only if declared by the board with Investor Majority consent</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Board</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Four directors: two Founder directors, one Investor director (Westbridge), one Independent. Chair: a Founder director, no casting vote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Investor consent matters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Customary list (budget, borrowing, share issues, related-party transactions, sale/IPO, changes to rights)</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Pre-emption</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Pro-rata pre-emption on new issues and on transfers; customary leaver provisions for founders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Information rights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Monthly management accounts, annual budget, audited accounts; Investor observer rights</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Warranties</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Business and tax warranties from the Company and the Founders (Founders capped)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Founder cap</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Each Founder’s aggregate liability capped at 1x his/her gross proceeds in the round; Company cap £2,000,000</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Conditions</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Satisfactory legal and financial DD; amended articles and IRA agreed; board and shareholder approvals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Exclusivity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8 weeks from the date of this term sheet</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Costs</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Company to pay the Lead Investor’s reasonable legal costs up to £45,000 plus VAT on completion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Target completion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By 30 January 2026</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Longstop date</w:t>
            </w:r>
          </w:p>
        </w:tc>
        <w:tc>
          <w:tcPr>
            <w:tcW w:type="dxa" w:w="67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27 February 2026</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Governing law</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England and Wales</w:t>
            </w:r>
          </w:p>
        </w:tc>
      </w:tr>
    </w:tbl>
    <w:p>
      <w:pPr>
        <w:spacing w:before="200"/>
      </w:pPr>
      <w:r>
        <w:rPr>
          <w:b/>
          <w:bCs/>
        </w:rPr>
        <w:t xml:space="preserve">Signed for and on behalf of:</w:t>
      </w:r>
    </w:p>
    <w:p>
      <w:pPr>
        <w:spacing w:after="120"/>
      </w:pPr>
      <w:r>
        <w:t xml:space="preserve">Brightwater Analytics Limited:  ____________________   Nadia Forsyth, CEO</w:t>
      </w:r>
    </w:p>
    <w:p>
      <w:pPr>
        <w:spacing w:after="120"/>
      </w:pPr>
      <w:r>
        <w:t xml:space="preserve">Westbridge Growth Capital LLP:  ____________________   Rosalind Whitaker, Partner</w:t>
      </w:r>
    </w:p>
    <w:p>
      <w:pPr>
        <w:spacing w:before="200"/>
      </w:pPr>
      <w:r>
        <w:rPr>
          <w:color w:val="888888"/>
          <w:sz w:val="14"/>
          <w:szCs w:val="14"/>
        </w:rPr>
        <w:t xml:space="preserve">Whitfield Carter LLP is a limited liability partnership registered in England and Wales (registered number OC384112). Confidential and may be legally privileged.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Marlin — Term Sheet</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2"/>
        <w:szCs w:val="22"/>
      </w:rPr>
      <w:t xml:space="preserve">Whitfield Carter LLP</w:t>
    </w:r>
  </w:p>
  <w:p>
    <w:pPr>
      <w:jc w:val="right"/>
    </w:pPr>
    <w:r>
      <w:rPr>
        <w:color w:val="555555"/>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60" w:hanging="480"/>
      </w:pPr>
    </w:lvl>
    <w:lvl w:ilvl="2" w15:tentative="1">
      <w:start w:val="1"/>
      <w:numFmt w:val="lowerLetter"/>
      <w:lvlText w:val="(%3)"/>
      <w:lvlJc w:val="left"/>
      <w:pPr>
        <w:ind w:left="1140" w:hanging="380"/>
      </w:pPr>
    </w:lvl>
    <w:lvl w:ilvl="3" w15:tentative="1">
      <w:start w:val="1"/>
      <w:numFmt w:val="lowerRoman"/>
      <w:lvlText w:val="(%4)"/>
      <w:lvlJc w:val="left"/>
      <w:pPr>
        <w:ind w:left="1500" w:hanging="360"/>
      </w:pPr>
    </w:lvl>
  </w:abstractNum>
  <w:abstractNum w:abstractNumId="3" w15:restartNumberingAfterBreak="0">
    <w:multiLevelType w:val="hybridMultilevel"/>
    <w:lvl w:ilvl="0" w15:tentative="1">
      <w:start w:val="1"/>
      <w:numFmt w:val="bullet"/>
      <w:lvlText w:val="•"/>
      <w:lvlJc w:val="left"/>
      <w:pPr>
        <w:ind w:left="480" w:hanging="360"/>
      </w:pPr>
    </w:lvl>
  </w:abstractNum>
  <w:abstractNum w:abstractNumId="4" w15:restartNumberingAfterBreak="0">
    <w:multiLevelType w:val="hybridMultilevel"/>
    <w:lvl w:ilvl="0" w15:tentative="1">
      <w:start w:val="1"/>
      <w:numFmt w:val="upperLetter"/>
      <w:lvlText w:val="(%1)"/>
      <w:lvlJc w:val="left"/>
      <w:pPr>
        <w:ind w:left="6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2026-06-29T11:23:49.197Z</dcterms:created>
  <dcterms:modified xsi:type="dcterms:W3CDTF">2026-06-29T11:23:49.197Z</dcterms:modified>
</cp:coreProperties>
</file>

<file path=docProps/custom.xml><?xml version="1.0" encoding="utf-8"?>
<Properties xmlns="http://schemas.openxmlformats.org/officeDocument/2006/custom-properties" xmlns:vt="http://schemas.openxmlformats.org/officeDocument/2006/docPropsVTypes"/>
</file>