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120"/>
        <w:jc w:val="right"/>
      </w:pPr>
      <w:r>
        <w:rPr>
          <w:sz w:val="16"/>
          <w:szCs w:val="16"/>
        </w:rPr>
        <w:t xml:space="preserve">DX 134777 Bishopsgate  •  +44 (0)20 7946 0500  •  whitfieldcarter.com</w:t>
      </w:r>
    </w:p>
    <w:p>
      <w:pPr>
        <w:pBdr>
          <w:bottom w:val="single" w:color="1F3864" w:sz="8" w:space="1"/>
        </w:pBdr>
        <w:spacing w:after="200"/>
      </w:pPr>
    </w:p>
    <w:p>
      <w:pPr>
        <w:spacing w:after="20" w:before="0" w:line="276"/>
        <w:jc w:val="center"/>
      </w:pPr>
      <w:r>
        <w:rPr>
          <w:b/>
          <w:bCs/>
          <w:sz w:val="26"/>
          <w:szCs w:val="26"/>
        </w:rPr>
        <w:t xml:space="preserve">CPSE.1 (VERSION 3.8)</w:t>
      </w:r>
    </w:p>
    <w:p>
      <w:pPr>
        <w:spacing w:after="20" w:before="0" w:line="276"/>
        <w:jc w:val="center"/>
      </w:pPr>
      <w:r>
        <w:rPr>
          <w:i/>
          <w:iCs/>
        </w:rPr>
        <w:t xml:space="preserve">General pre-contract enquiries for all commercial property transactions</w:t>
      </w:r>
    </w:p>
    <w:p>
      <w:pPr>
        <w:spacing w:after="160" w:before="0" w:line="276"/>
        <w:jc w:val="center"/>
      </w:pPr>
      <w:r>
        <w:rPr>
          <w:sz w:val="18"/>
          <w:szCs w:val="18"/>
        </w:rPr>
        <w:t xml:space="preserve">Replies given on behalf of the Seller, Marrable Estates Limited, by Marlowe Greaves LLP — Project Onyx, Onyx Point, Coventry CV3 4QR</w:t>
      </w:r>
    </w:p>
    <w:p>
      <w:pPr>
        <w:spacing w:after="120" w:before="0" w:line="276"/>
      </w:pPr>
      <w:r>
        <w:rPr>
          <w:i/>
          <w:iCs/>
          <w:sz w:val="18"/>
          <w:szCs w:val="18"/>
        </w:rPr>
        <w:t xml:space="preserve">These replies are given by the Seller's solicitors on the basis of information supplied by the Seller. The Seller does not have actual knowledge of any matter to which the answer "Not so far as the Seller is aware" relates and confirms it has made reasonable enquiry of its managing agents.</w:t>
      </w:r>
    </w:p>
    <w:p>
      <w:pPr>
        <w:spacing w:after="40" w:before="140" w:line="276"/>
      </w:pPr>
      <w:r>
        <w:rPr>
          <w:b/>
          <w:bCs/>
        </w:rPr>
        <w:t xml:space="preserve">1.1  </w:t>
      </w:r>
      <w:r>
        <w:rPr>
          <w:b/>
          <w:bCs/>
        </w:rPr>
        <w:t xml:space="preserve">Boundaries and extent. Please confirm the boundary features and who is responsible for their maintenance.</w:t>
      </w:r>
    </w:p>
    <w:p>
      <w:pPr>
        <w:spacing w:after="60" w:line="276"/>
        <w:ind w:left="360"/>
      </w:pPr>
      <w:r>
        <w:rPr>
          <w:i/>
          <w:iCs/>
        </w:rPr>
        <w:t xml:space="preserve">Reply: </w:t>
      </w:r>
      <w:r>
        <w:t xml:space="preserve">The Property is bounded by estate fencing to the north and east (Seller's responsibility), the adopted highway to the south, and a shared boundary with Plot 9 Hartfield Distribution Park to the west. The Buyer should rely on inspection and the title plan to title number WM448210.</w:t>
      </w:r>
    </w:p>
    <w:p>
      <w:pPr>
        <w:spacing w:after="40" w:before="140" w:line="276"/>
      </w:pPr>
      <w:r>
        <w:rPr>
          <w:b/>
          <w:bCs/>
        </w:rPr>
        <w:t xml:space="preserve">3.1  </w:t>
      </w:r>
      <w:r>
        <w:rPr>
          <w:b/>
          <w:bCs/>
        </w:rPr>
        <w:t xml:space="preserve">Rights and informal arrangements. Does the Property have the benefit of all rights necessary for its present use?</w:t>
      </w:r>
    </w:p>
    <w:p>
      <w:pPr>
        <w:spacing w:after="60" w:line="276"/>
        <w:ind w:left="360"/>
      </w:pPr>
      <w:r>
        <w:rPr>
          <w:i/>
          <w:iCs/>
        </w:rPr>
        <w:t xml:space="preserve">Reply: </w:t>
      </w:r>
      <w:r>
        <w:t xml:space="preserve">Yes. The Property has the benefit of rights of way over the estate roads and rights for services granted by the transfers referred to in the Charges Register of title WM448210. The estate roads remain in the Seller's ownership and are managed through the estate service charge.</w:t>
      </w:r>
    </w:p>
    <w:p>
      <w:pPr>
        <w:spacing w:after="40" w:before="140" w:line="276"/>
      </w:pPr>
      <w:r>
        <w:rPr>
          <w:b/>
          <w:bCs/>
        </w:rPr>
        <w:t xml:space="preserve">4.1  </w:t>
      </w:r>
      <w:r>
        <w:rPr>
          <w:b/>
          <w:bCs/>
        </w:rPr>
        <w:t xml:space="preserve">Disputes. Are there any disputes relating to the Property or any neighbouring property?</w:t>
      </w:r>
    </w:p>
    <w:p>
      <w:pPr>
        <w:spacing w:after="60" w:line="276"/>
        <w:ind w:left="360"/>
      </w:pPr>
      <w:r>
        <w:rPr>
          <w:i/>
          <w:iCs/>
        </w:rPr>
        <w:t xml:space="preserve">Reply: </w:t>
      </w:r>
      <w:r>
        <w:t xml:space="preserve">Not so far as the Seller is aware, save that the tenant of Unit C raised a service charge query in 2024 which was resolved by correspondence; copies are in the data room at folder 6.3.</w:t>
      </w:r>
    </w:p>
    <w:p>
      <w:pPr>
        <w:spacing w:after="40" w:before="140" w:line="276"/>
      </w:pPr>
      <w:r>
        <w:rPr>
          <w:b/>
          <w:bCs/>
        </w:rPr>
        <w:t xml:space="preserve">6.1  </w:t>
      </w:r>
      <w:r>
        <w:rPr>
          <w:b/>
          <w:bCs/>
        </w:rPr>
        <w:t xml:space="preserve">Planning and building regulations. Please supply copies of all planning permissions, building regulation approvals and completion certificates.</w:t>
      </w:r>
    </w:p>
    <w:p>
      <w:pPr>
        <w:spacing w:after="60" w:line="276"/>
        <w:ind w:left="360"/>
      </w:pPr>
      <w:r>
        <w:rPr>
          <w:i/>
          <w:iCs/>
        </w:rPr>
        <w:t xml:space="preserve">Reply: </w:t>
      </w:r>
      <w:r>
        <w:t xml:space="preserve">Copies of the original planning permission (ref. CW/2016/1187) for the four-unit distribution scheme and the building regulation completion certificates for Units A–D are in the data room at folder 4. There have been no material alterations since construction.</w:t>
      </w:r>
    </w:p>
    <w:p>
      <w:pPr>
        <w:spacing w:after="40" w:before="140" w:line="276"/>
      </w:pPr>
      <w:r>
        <w:rPr>
          <w:b/>
          <w:bCs/>
        </w:rPr>
        <w:t xml:space="preserve">8.1  </w:t>
      </w:r>
      <w:r>
        <w:rPr>
          <w:b/>
          <w:bCs/>
        </w:rPr>
        <w:t xml:space="preserve">Occupiers and employees. Please give details of everyone in occupation of the Property.</w:t>
      </w:r>
    </w:p>
    <w:p>
      <w:pPr>
        <w:spacing w:after="60" w:line="276"/>
        <w:ind w:left="360"/>
      </w:pPr>
      <w:r>
        <w:rPr>
          <w:i/>
          <w:iCs/>
        </w:rPr>
        <w:t xml:space="preserve">Reply: </w:t>
      </w:r>
      <w:r>
        <w:t xml:space="preserve">The Property is occupied by the four tenants listed in the tenancy schedule under the Leases. There are no other occupiers and no employees are employed at the Property by the Seller.</w:t>
      </w:r>
    </w:p>
    <w:p>
      <w:pPr>
        <w:spacing w:after="40" w:before="140" w:line="276"/>
      </w:pPr>
      <w:r>
        <w:rPr>
          <w:b/>
          <w:bCs/>
        </w:rPr>
        <w:t xml:space="preserve">9.1  </w:t>
      </w:r>
      <w:r>
        <w:rPr>
          <w:b/>
          <w:bCs/>
        </w:rPr>
        <w:t xml:space="preserve">Insurance. Please supply details of the buildings insurance.</w:t>
      </w:r>
    </w:p>
    <w:p>
      <w:pPr>
        <w:spacing w:after="60" w:line="276"/>
        <w:ind w:left="360"/>
      </w:pPr>
      <w:r>
        <w:rPr>
          <w:i/>
          <w:iCs/>
        </w:rPr>
        <w:t xml:space="preserve">Reply: </w:t>
      </w:r>
      <w:r>
        <w:t xml:space="preserve">The Property is insured under the Seller's portfolio policy with Cornmarket Insurance plc (policy CM-PORT-44218); the current sum insured for the Property is £31,400,000 with a reinstatement basis. The premium is recovered through the service charge. A copy of the policy schedule is in the data room at folder 7.1.</w:t>
      </w:r>
    </w:p>
    <w:p>
      <w:pPr>
        <w:spacing w:after="40" w:before="140" w:line="276"/>
      </w:pPr>
      <w:r>
        <w:rPr>
          <w:b/>
          <w:bCs/>
        </w:rPr>
        <w:t xml:space="preserve">11.1  </w:t>
      </w:r>
      <w:r>
        <w:rPr>
          <w:b/>
          <w:bCs/>
        </w:rPr>
        <w:t xml:space="preserve">VAT. Has an option to tax been made in respect of the Property?</w:t>
      </w:r>
    </w:p>
    <w:p>
      <w:pPr>
        <w:spacing w:after="60" w:line="276"/>
        <w:ind w:left="360"/>
      </w:pPr>
      <w:r>
        <w:rPr>
          <w:i/>
          <w:iCs/>
        </w:rPr>
        <w:t xml:space="preserve">Reply: </w:t>
      </w:r>
      <w:r>
        <w:t xml:space="preserve">Yes. The Seller (then the partnership which preceded it) opted to tax the Property with effect from 1 April 2016; a copy of HMRC's acknowledgement is in the data room at folder 9.2. The sale is intended to be treated as a TOGC.</w:t>
      </w:r>
    </w:p>
    <w:p>
      <w:pPr>
        <w:spacing w:after="40" w:before="140" w:line="276"/>
      </w:pPr>
      <w:r>
        <w:rPr>
          <w:b/>
          <w:bCs/>
        </w:rPr>
        <w:t xml:space="preserve">13.1  </w:t>
      </w:r>
      <w:r>
        <w:rPr>
          <w:b/>
          <w:bCs/>
        </w:rPr>
        <w:t xml:space="preserve">Environmental. Is the Seller aware of any contamination at the Property?</w:t>
      </w:r>
    </w:p>
    <w:p>
      <w:pPr>
        <w:spacing w:after="60" w:line="276"/>
        <w:ind w:left="360"/>
      </w:pPr>
      <w:r>
        <w:rPr>
          <w:i/>
          <w:iCs/>
        </w:rPr>
        <w:t xml:space="preserve">Reply: </w:t>
      </w:r>
      <w:r>
        <w:t xml:space="preserve">Not so far as the Seller is aware. A Phase 1 environmental report dated September 2016 obtained at construction is in the data room at folder 8 and recorded no significant contamination.</w:t>
      </w:r>
    </w:p>
    <w:p>
      <w:pPr>
        <w:spacing w:after="40" w:before="140" w:line="276"/>
      </w:pPr>
      <w:r>
        <w:rPr>
          <w:b/>
          <w:bCs/>
        </w:rPr>
        <w:t xml:space="preserve">15.1  </w:t>
      </w:r>
      <w:r>
        <w:rPr>
          <w:b/>
          <w:bCs/>
        </w:rPr>
        <w:t xml:space="preserve">Tenancies — general. Please confirm the rent and any arrears under each Lease.</w:t>
      </w:r>
    </w:p>
    <w:p>
      <w:pPr>
        <w:spacing w:after="60" w:line="276"/>
        <w:ind w:left="360"/>
      </w:pPr>
      <w:r>
        <w:rPr>
          <w:i/>
          <w:iCs/>
        </w:rPr>
        <w:t xml:space="preserve">Reply: </w:t>
      </w:r>
      <w:r>
        <w:t xml:space="preserve">The passing rents are as set out in the tenancy schedule (£1,329,000 per annum in aggregate). All rent is paid up to the most recent quarter day save that the tenant of Unit D is one month in arrears (£12,987.50); the Seller is pursuing payment and any arrears outstanding at completion will be dealt with under the contract.</w:t>
      </w:r>
    </w:p>
    <w:p>
      <w:pPr>
        <w:spacing w:after="40" w:before="140" w:line="276"/>
      </w:pPr>
      <w:r>
        <w:rPr>
          <w:b/>
          <w:bCs/>
        </w:rPr>
        <w:t xml:space="preserve">16.1  </w:t>
      </w:r>
      <w:r>
        <w:rPr>
          <w:b/>
          <w:bCs/>
        </w:rPr>
        <w:t xml:space="preserve">Rent deposits. Are any rent deposits held?</w:t>
      </w:r>
    </w:p>
    <w:p>
      <w:pPr>
        <w:spacing w:after="60" w:line="276"/>
        <w:ind w:left="360"/>
      </w:pPr>
      <w:r>
        <w:rPr>
          <w:i/>
          <w:iCs/>
        </w:rPr>
        <w:t xml:space="preserve">Reply: </w:t>
      </w:r>
      <w:r>
        <w:t xml:space="preserve">Yes. Rent deposits are held in respect of Unit B (£91,687.50) and Unit D (£38,962.50) under the rent deposit deeds listed in the tenancy schedule. The deposit monies will be apportioned to the Buyer on completion.</w:t>
      </w:r>
    </w:p>
    <w:p>
      <w:pPr>
        <w:spacing w:after="120" w:before="160" w:line="276"/>
      </w:pPr>
      <w:r>
        <w:t xml:space="preserve"/>
      </w:r>
    </w:p>
    <w:p>
      <w:pPr>
        <w:spacing w:after="120" w:before="0" w:line="276"/>
      </w:pPr>
      <w:r>
        <w:rPr>
          <w:b/>
          <w:bCs/>
        </w:rPr>
        <w:t xml:space="preserve">Signed: Marlowe Greaves LLP, solicitors for the Seller</w:t>
      </w:r>
    </w:p>
    <w:p>
      <w:pPr>
        <w:spacing w:after="120" w:before="0" w:line="276"/>
      </w:pPr>
      <w:r>
        <w:t xml:space="preserve">Dated: 24 February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color w:val="666666"/>
        <w:sz w:val="16"/>
        <w:szCs w:val="16"/>
      </w:rPr>
      <w:t xml:space="preserve">Project Onyx — CPSE.1 Replies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2026-06-26T13:39:12.129Z</dcterms:created>
  <dcterms:modified xsi:type="dcterms:W3CDTF">2026-06-26T13:39:12.129Z</dcterms:modified>
</cp:coreProperties>
</file>

<file path=docProps/custom.xml><?xml version="1.0" encoding="utf-8"?>
<Properties xmlns="http://schemas.openxmlformats.org/officeDocument/2006/custom-properties" xmlns:vt="http://schemas.openxmlformats.org/officeDocument/2006/docPropsVTypes"/>
</file>