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76"/>
        <w:jc w:val="center"/>
      </w:pPr>
      <w:r>
        <w:rPr>
          <w:b/>
          <w:bCs/>
          <w:sz w:val="28"/>
          <w:szCs w:val="28"/>
        </w:rPr>
        <w:t xml:space="preserve">COMPLETION CHECKLIST</w:t>
      </w:r>
    </w:p>
    <w:p>
      <w:pPr>
        <w:spacing w:after="20" w:before="0" w:line="276"/>
        <w:jc w:val="center"/>
      </w:pPr>
      <w:r>
        <w:rPr>
          <w:b/>
          <w:bCs/>
        </w:rPr>
        <w:t xml:space="preserve">Project Onyx — acquisition of Onyx Point, Coventry CV3 4QR</w:t>
      </w:r>
    </w:p>
    <w:p>
      <w:pPr>
        <w:spacing w:after="160" w:before="0" w:line="276"/>
        <w:jc w:val="center"/>
      </w:pPr>
      <w:r>
        <w:rPr>
          <w:sz w:val="18"/>
          <w:szCs w:val="18"/>
        </w:rPr>
        <w:t xml:space="preserve">Target completion: 7 April 2026  •  Buyer: Calderfield Capital Partners Ltd  •  Ref SW/eo/CAL-0143</w:t>
      </w:r>
    </w:p>
    <w:p>
      <w:pPr>
        <w:pStyle w:val="Heading2"/>
      </w:pPr>
      <w:r>
        <w:t xml:space="preserve">A.  Pre-exchange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160"/>
        <w:gridCol w:w="1700"/>
        <w:gridCol w:w="170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Title to WM448210 investigated and report on title issued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JO/EM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 — 26 Feb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Searches (local, drainage, environmental, chancel, CON29M) received and clear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EM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 — 28 Feb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CPSE.1 and property-specific replies reviewed; outstanding enquiries closed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JO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 — 4 Mar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A4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 contract agreed (v3) and engrossed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JO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 — 11 Mar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A5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SPV purchaser nominated and notice given to Seller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JO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 — 9 Mar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A6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Buyer board approval / funding confirmation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 — 6 Mar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A7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Deposit funds (£1,865,000) cleared to WC client account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 — 12 Mar</w:t>
            </w:r>
          </w:p>
        </w:tc>
      </w:tr>
    </w:tbl>
    <w:p>
      <w:pPr>
        <w:pStyle w:val="Heading2"/>
      </w:pPr>
      <w:r>
        <w:t xml:space="preserve">B.  Exchange (13 March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160"/>
        <w:gridCol w:w="1700"/>
        <w:gridCol w:w="170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Contracts exchanged by telephone (Law Society Formula B)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JO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 — 13 Mar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Deposit released to Seller's solicitors as stakeholder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 — 13 Mar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Completion date entered in diary (7 April 2026)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EM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B4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Buyer's option to tax notified to HMRC; acknowledgement chased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JO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 — 16 Mar</w:t>
            </w:r>
          </w:p>
        </w:tc>
      </w:tr>
    </w:tbl>
    <w:p>
      <w:pPr>
        <w:pStyle w:val="Heading2"/>
      </w:pPr>
      <w:r>
        <w:t xml:space="preserve">C.  Pre-completion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160"/>
        <w:gridCol w:w="1700"/>
        <w:gridCol w:w="170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Engrossed Transfer (TR1) approved and signed by Buyer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JO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 — 27 Mar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Pre-completion OS1 priority search and bankruptcy/company search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EM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 — 30 Mar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Completion statement and apportionments agreed with Seller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EM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 — 30 Mar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C4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 authority letters in agreed form received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JO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C5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Completion monies (£16,338,957.50) requisitioned from client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</w:tbl>
    <w:p>
      <w:pPr>
        <w:pStyle w:val="Heading2"/>
      </w:pPr>
      <w:r>
        <w:t xml:space="preserve">D.  Post-completion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160"/>
        <w:gridCol w:w="1700"/>
        <w:gridCol w:w="170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SDLT return submitted and SDLT (£922,000) paid within 14 days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EM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D2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AP1 application to register transfer at HM Land Registry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EM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D3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Notices of assignment of rent deposits served on tenants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JO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D4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Completion letter and updated title to client; file closed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JO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1"/>
      </w:pBdr>
      <w:spacing w:before="60"/>
    </w:pPr>
    <w:r>
      <w:rPr>
        <w:color w:val="666666"/>
        <w:sz w:val="14"/>
        <w:szCs w:val="14"/>
      </w:rPr>
      <w:t xml:space="preserve">Whitfield Carter LLP is a limited liability partnership registered in England &amp; Wales (OC418842). A list of members is open to inspection at the registered office. Authorised and regulated by the Solicitors Regulation Authority.</w:t>
    </w:r>
  </w:p>
  <w:p>
    <w:pPr>
      <w:jc w:val="right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1"/>
      </w:pBdr>
      <w:jc w:val="right"/>
    </w:pPr>
    <w:r>
      <w:rPr>
        <w:color w:val="666666"/>
        <w:sz w:val="16"/>
        <w:szCs w:val="16"/>
      </w:rPr>
      <w:t xml:space="preserve">Project Onyx — Completion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2026-06-26T13:39:12.138Z</dcterms:created>
  <dcterms:modified xsi:type="dcterms:W3CDTF">2026-06-26T13:39:12.138Z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