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120"/>
        <w:jc w:val="right"/>
      </w:pPr>
      <w:r>
        <w:rPr>
          <w:sz w:val="16"/>
          <w:szCs w:val="16"/>
        </w:rPr>
        <w:t xml:space="preserve">DX 134777 Bishopsgate  •  +44 (0)20 7946 0500  •  whitfieldcarter.com</w:t>
      </w:r>
    </w:p>
    <w:p>
      <w:pPr>
        <w:pBdr>
          <w:bottom w:val="single" w:color="1F3864" w:sz="8" w:space="1"/>
        </w:pBdr>
        <w:spacing w:after="200"/>
      </w:pPr>
    </w:p>
    <w:p>
      <w:pPr>
        <w:spacing w:after="60" w:before="0" w:line="276"/>
      </w:pPr>
      <w:r>
        <w:rPr>
          <w:b/>
          <w:bCs/>
        </w:rPr>
        <w:t xml:space="preserve">Strictly private and confidential</w:t>
      </w:r>
    </w:p>
    <w:p>
      <w:pPr>
        <w:spacing w:after="120" w:before="0" w:line="276"/>
      </w:pPr>
      <w:r>
        <w:t xml:space="preserve">Mr Tom Beckworth</w:t>
      </w:r>
    </w:p>
    <w:p>
      <w:pPr>
        <w:spacing w:after="120" w:before="0" w:line="276"/>
      </w:pPr>
      <w:r>
        <w:t xml:space="preserve">Head of Acquisitions</w:t>
      </w:r>
    </w:p>
    <w:p>
      <w:pPr>
        <w:spacing w:after="120" w:before="0" w:line="276"/>
      </w:pPr>
      <w:r>
        <w:t xml:space="preserve">Calderfield Capital Partners Limited</w:t>
      </w:r>
    </w:p>
    <w:p>
      <w:pPr>
        <w:spacing w:after="200" w:before="0" w:line="276"/>
      </w:pPr>
      <w:r>
        <w:t xml:space="preserve">8 Finsbury Circus, London EC2M 7EA</w:t>
      </w:r>
    </w:p>
    <w:p>
      <w:pPr>
        <w:spacing w:after="200" w:before="0" w:line="276"/>
      </w:pPr>
      <w:r>
        <w:rPr>
          <w:b/>
          <w:bCs/>
        </w:rPr>
        <w:t xml:space="preserve">Our ref: </w:t>
      </w:r>
      <w:r>
        <w:t>SW/eo/CAL-0143	5 February 2026</w:t>
      </w:r>
    </w:p>
    <w:p>
      <w:pPr>
        <w:spacing w:after="160" w:before="0" w:line="276"/>
      </w:pPr>
      <w:r>
        <w:t xml:space="preserve">Dear Tom</w:t>
      </w:r>
    </w:p>
    <w:p>
      <w:pPr>
        <w:spacing w:after="160" w:before="0" w:line="276"/>
      </w:pPr>
      <w:r>
        <w:rPr>
          <w:b/>
          <w:bCs/>
        </w:rPr>
        <w:t xml:space="preserve">Project Onyx — proposed acquisition of Onyx Point, Hartfield Distribution Park, Coventry CV3 4QR</w:t>
      </w:r>
    </w:p>
    <w:p>
      <w:pPr>
        <w:spacing w:after="120" w:before="0" w:line="276"/>
      </w:pPr>
      <w:r>
        <w:t xml:space="preserve">Thank you for instructing Whitfield Carter LLP in connection with the proposed acquisition by Calderfield Capital Partners Limited (or a wholly-owned special purpose vehicle to be nominated by it) of the freehold investment property known as Onyx Point, Hartfield Distribution Park, Coventry CV3 4QR, comprising Units A to D and the associated yard, car parking and estate roads, currently let to four occupational tenants (the "Property"). This letter, together with our enclosed Terms of Business, sets out the basis on which we will act for you.</w:t>
      </w:r>
    </w:p>
    <w:p>
      <w:pPr>
        <w:pStyle w:val="Heading2"/>
      </w:pPr>
      <w:r>
        <w:t xml:space="preserve">1.  Scope of our engagement</w:t>
      </w:r>
    </w:p>
    <w:p>
      <w:pPr>
        <w:spacing w:after="120" w:before="0" w:line="276"/>
      </w:pPr>
      <w:r>
        <w:t xml:space="preserve">We will advise on and carry out the legal work necessary to acquire the Property by way of a freehold purchase from Marrable Estates Limited (the "Seller"), including: reviewing title and the existing occupational leases; raising and reviewing pre-contract enquiries (CPSE.1 and property-specific enquiries); reporting to you on title and the tenancies; negotiating and agreeing the sale contract and transfer; advising on the apportionment of rents and service charge; dealing with exchange, completion, payment of Stamp Duty Land Tax and registration at HM Land Registry. Our engagement does not extend to tax structuring advice (other than SDLT compliance), environmental or building surveys, or valuation, each of which you have confirmed is being dealt with by your own advisers.</w:t>
      </w:r>
    </w:p>
    <w:p>
      <w:pPr>
        <w:pStyle w:val="Heading2"/>
      </w:pPr>
      <w:r>
        <w:t xml:space="preserve">2.  Our team</w:t>
      </w:r>
    </w:p>
    <w:p>
      <w:pPr>
        <w:spacing w:after="120" w:before="0" w:line="276"/>
      </w:pPr>
      <w:r>
        <w:t xml:space="preserve">The matter will be led by Sarah Whitfield (Partner), supported by James Osei (Senior Associate) who will have day-to-day conduct, and Elena Marchetti (Associate). Tom Gallagher may assist on the leasehold title review. Sarah retains overall responsibility for the quality of our work.</w:t>
      </w:r>
    </w:p>
    <w:p>
      <w:pPr>
        <w:pStyle w:val="Heading2"/>
      </w:pPr>
      <w:r>
        <w:t xml:space="preserve">3.  Fees and disbursements</w:t>
      </w:r>
    </w:p>
    <w:p>
      <w:pPr>
        <w:spacing w:after="120" w:before="0" w:line="276"/>
      </w:pPr>
      <w:r>
        <w:t xml:space="preserve">We estimate our fees for the work described above at between £42,000 and £52,000 plus VAT, based on the hourly rates set out in the enclosed Terms of Business (currently £620 for Sarah, £430 for James and £310 for Elena). This estimate assumes a single freehold title in good order and no more than two rounds of substantive negotiation on the contract. Disbursements will include HM Land Registry fees, search fees and SDLT. We will notify you promptly if it appears the estimate will be exceeded.</w:t>
      </w:r>
    </w:p>
    <w:p>
      <w:pPr>
        <w:pStyle w:val="Heading2"/>
      </w:pPr>
      <w:r>
        <w:t xml:space="preserve">4.  SDLT</w:t>
      </w:r>
    </w:p>
    <w:p>
      <w:pPr>
        <w:spacing w:after="120" w:before="0" w:line="276"/>
      </w:pPr>
      <w:r>
        <w:t xml:space="preserve">On a purchase price of £18,650,000 the Stamp Duty Land Tax payable on a non-residential freehold acquisition is presently estimated at £922,000, calculated on the slice basis applicable to non-residential property. We will prepare and submit the SDLT return on completion; the tax must be funded by you and cleared to us before completion.</w:t>
      </w:r>
    </w:p>
    <w:p>
      <w:pPr>
        <w:pStyle w:val="Heading2"/>
      </w:pPr>
      <w:r>
        <w:t xml:space="preserve">5.  Anti-money laundering and source of funds</w:t>
      </w:r>
    </w:p>
    <w:p>
      <w:pPr>
        <w:spacing w:after="120" w:before="0" w:line="276"/>
      </w:pPr>
      <w:r>
        <w:t xml:space="preserve">As you are an existing regulated entity we have completed our client due diligence on Calderfield Capital Partners Limited. Before completion we will require evidence of the source of the completion monies and confirmation of the identity of any nominated SPV purchaser. We are unable to complete unless cleared funds, including our fees, disbursements and SDLT, are held by us.</w:t>
      </w:r>
    </w:p>
    <w:p>
      <w:pPr>
        <w:pStyle w:val="Heading2"/>
      </w:pPr>
      <w:r>
        <w:t xml:space="preserve">6.  Confidentiality and project name</w:t>
      </w:r>
    </w:p>
    <w:p>
      <w:pPr>
        <w:spacing w:after="120" w:before="0" w:line="276"/>
      </w:pPr>
      <w:r>
        <w:t xml:space="preserve">This transaction will be referred to internally and in correspondence as "Project Onyx". Please keep the project name and the identity of the Property confidential until exchange.</w:t>
      </w:r>
    </w:p>
    <w:p>
      <w:pPr>
        <w:spacing w:after="120" w:before="120" w:line="276"/>
      </w:pPr>
      <w:r>
        <w:t xml:space="preserve">Please confirm your acceptance of these terms by signing and returning the enclosed copy of this letter. We are delighted to be acting for you and look forward to working with you on this acquisition.</w:t>
      </w:r>
    </w:p>
    <w:p>
      <w:pPr>
        <w:spacing w:after="360" w:before="200" w:line="276"/>
      </w:pPr>
      <w:r>
        <w:t xml:space="preserve">Yours sincerely</w:t>
      </w:r>
    </w:p>
    <w:p>
      <w:pPr>
        <w:spacing w:after="0" w:before="0" w:line="276"/>
      </w:pPr>
      <w:r>
        <w:rPr>
          <w:b/>
          <w:bCs/>
        </w:rPr>
        <w:t xml:space="preserve">Sarah Whitfield</w:t>
      </w:r>
    </w:p>
    <w:p>
      <w:pPr>
        <w:spacing w:after="120" w:before="0" w:line="276"/>
      </w:pPr>
      <w:r>
        <w:t xml:space="preserve">Partner</w:t>
      </w:r>
    </w:p>
    <w:p>
      <w:pPr>
        <w:spacing w:after="120" w:before="0" w:line="276"/>
      </w:pPr>
      <w:r>
        <w:t xml:space="preserve">For and on behalf of Whitfield Carter LLP</w:t>
      </w:r>
    </w:p>
    <w:p>
      <w:pPr>
        <w:spacing w:after="240" w:before="0" w:line="276"/>
      </w:pPr>
      <w:r>
        <w:t xml:space="preserve">sarah.whitfield@whitfieldcarter.com  •  +44 (0)20 7946 0512</w:t>
      </w:r>
    </w:p>
    <w:p>
      <w:pPr>
        <w:spacing w:after="120" w:before="0" w:line="276"/>
      </w:pPr>
      <w:r>
        <w:rPr>
          <w:i/>
          <w:iCs/>
        </w:rPr>
        <w:t xml:space="preserve">Enc: Terms of Business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2026-06-26T13:39:12.070Z</dcterms:created>
  <dcterms:modified xsi:type="dcterms:W3CDTF">2026-06-26T13:39:12.071Z</dcterms:modified>
</cp:coreProperties>
</file>

<file path=docProps/custom.xml><?xml version="1.0" encoding="utf-8"?>
<Properties xmlns="http://schemas.openxmlformats.org/officeDocument/2006/custom-properties" xmlns:vt="http://schemas.openxmlformats.org/officeDocument/2006/docPropsVTypes"/>
</file>