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b/>
          <w:bCs/>
          <w:sz w:val="30"/>
          <w:szCs w:val="30"/>
        </w:rPr>
        <w:t xml:space="preserve">HEADS OF TERMS</w:t>
      </w:r>
    </w:p>
    <w:p>
      <w:pPr>
        <w:spacing w:after="40" w:before="0" w:line="276"/>
        <w:jc w:val="center"/>
      </w:pPr>
      <w:r>
        <w:rPr>
          <w:b/>
          <w:bCs/>
        </w:rPr>
        <w:t xml:space="preserve">Project Onyx — Sale and Purchase of Onyx Point, Hartfield Distribution Park, Coventry</w:t>
      </w:r>
    </w:p>
    <w:p>
      <w:pPr>
        <w:spacing w:after="200" w:before="0" w:line="276"/>
        <w:jc w:val="center"/>
      </w:pPr>
      <w:r>
        <w:rPr>
          <w:i/>
          <w:iCs/>
        </w:rPr>
        <w:t xml:space="preserve">Subject to contract  •  Without prejudice</w:t>
      </w:r>
    </w:p>
    <w:p>
      <w:pPr>
        <w:spacing w:after="160" w:before="0" w:line="276"/>
      </w:pPr>
      <w:r>
        <w:t xml:space="preserve">These heads of terms record the principal commercial terms agreed in principle between the parties for the proposed sale and purchase of the Property. They are not intended to be legally binding (save for clauses 13 (Exclusivity), 14 (Costs) and 15 (Confidentiality), which are intended to bind the parties) and are subject to contract and to satisfactory due diligence.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Item</w:t>
            </w:r>
          </w:p>
        </w:tc>
        <w:tc>
          <w:tcPr>
            <w:tcW w:type="dxa" w:w="6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Agreed terms</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  Seller</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Marrable Estates Limited (company no. 04419872), 14 Calthorpe Road, Birmingham B15 1RP</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  Buyer</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Calderfield Capital Partners Limited (company no. 09928741), or an SPV nominated by it before exchange</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3.  Property</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Freehold investment known as Onyx Point, Hartfield Distribution Park, Coventry CV3 4QR (Units A–D, yard, parking and estate roads), registered under title number WM448210</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4.  Tenure</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Freehold, sold subject to and with the benefit of the four existing occupational leases</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5.  Purchase price</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£18,650,000 (eighteen million six hundred and fifty thousand pounds), exclusive of VAT</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6.  VAT</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The Property is opted to tax. Sale to be treated as a transfer of a going concern (TOGC); Buyer to opt to tax and notify HMRC before completion</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7.  Deposit</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10% (£1,865,000) payable on exchange, held by Seller's solicitors as stakeholder</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8.  Net initial yield</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Approximately 6.85% on the passing rent of £1,329,000 per annum (after standard purchaser's costs of 6.8%)</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9.  Tenancies</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Sold subject to four leases (Units A–D). Rent and service charge apportioned at completion. Seller to give standard rent authority letters</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10. Title guarantee</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Full title guarantee</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11. Conditions</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Subject to contract, satisfactory title, replies to CPSE enquiries and clear searches</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12. Timetable</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Exchange targeted for 13 March 2026; completion on 2 April 2026</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13. Exclusivity</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Seller grants the Buyer exclusivity until 5.00 pm on 13 March 2026 during which it will not negotiate with any third party</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14. Costs</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Each party bears its own legal and professional costs</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15. Confidentiality</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The parties will keep the terms of the proposed transaction confidential</w:t>
            </w:r>
          </w:p>
        </w:tc>
      </w:tr>
    </w:tbl>
    <w:p>
      <w:pPr>
        <w:spacing w:after="120" w:before="0" w:line="276"/>
      </w:pPr>
      <w:r>
        <w:t xml:space="preserve"/>
      </w:r>
    </w:p>
    <w:p>
      <w:pPr>
        <w:spacing w:after="240" w:before="0" w:line="276"/>
      </w:pPr>
      <w:r>
        <w:t xml:space="preserve">Agreed in principle on 9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sz w:val="20"/>
                <w:szCs w:val="20"/>
              </w:rPr>
              <w:t xml:space="preserve">For the Seller</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sz w:val="20"/>
                <w:szCs w:val="20"/>
              </w:rPr>
              <w:t xml:space="preserve">For the Buyer</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Signed: ........................................</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Signed: ........................................</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Name: Geoffrey Marrable</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Name: Tom Beckworth</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Marrable Estates Limited</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Calderfield Capital Partners Limited</w:t>
            </w:r>
          </w:p>
        </w:tc>
      </w:tr>
    </w:tbl>
    <w:p>
      <w:pPr>
        <w:spacing w:after="120" w:before="200" w:line="276"/>
      </w:pPr>
      <w:r>
        <w:rPr>
          <w:i/>
          <w:iCs/>
          <w:sz w:val="18"/>
          <w:szCs w:val="18"/>
        </w:rPr>
        <w:t xml:space="preserve">Prepared by Marlowe Greaves LLP (Seller's solicitors) and Whitfield Carter LLP (Buyer's solicitors).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spacing w:before="60"/>
    </w:pPr>
    <w:r>
      <w:rPr>
        <w:color w:val="666666"/>
        <w:sz w:val="14"/>
        <w:szCs w:val="14"/>
      </w:rPr>
      <w:t xml:space="preserve">Whitfield Carter LLP is a limited liability partnership registered in England &amp; Wales (OC418842). A list of members is open to inspection at the registered office. Authorised and regulated by the Solicitors Regulation Authority.</w:t>
    </w:r>
  </w:p>
  <w:p>
    <w:pPr>
      <w:jc w:val="right"/>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right"/>
    </w:pPr>
    <w:r>
      <w:rPr>
        <w:color w:val="666666"/>
        <w:sz w:val="16"/>
        <w:szCs w:val="16"/>
      </w:rPr>
      <w:t xml:space="preserve">Project Onyx — Heads of Terms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2026-06-26T13:39:12.091Z</dcterms:created>
  <dcterms:modified xsi:type="dcterms:W3CDTF">2026-06-26T13:39:12.091Z</dcterms:modified>
</cp:coreProperties>
</file>

<file path=docProps/custom.xml><?xml version="1.0" encoding="utf-8"?>
<Properties xmlns="http://schemas.openxmlformats.org/officeDocument/2006/custom-properties" xmlns:vt="http://schemas.openxmlformats.org/officeDocument/2006/docPropsVTypes"/>
</file>