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sz w:val="26"/>
          <w:szCs w:val="26"/>
        </w:rPr>
        <w:t xml:space="preserve">Whitfield Carter LLP</w:t>
      </w:r>
    </w:p>
    <w:p>
      <w:pPr>
        <w:spacing w:after="0"/>
        <w:jc w:val="right"/>
      </w:pPr>
      <w:r>
        <w:rPr>
          <w:sz w:val="18"/>
          <w:szCs w:val="18"/>
        </w:rPr>
        <w:t xml:space="preserve">22 Bishopsgate, London EC2N 4BQ</w:t>
      </w:r>
    </w:p>
    <w:p>
      <w:pPr>
        <w:spacing w:after="120"/>
        <w:jc w:val="right"/>
      </w:pPr>
      <w:r>
        <w:rPr>
          <w:sz w:val="16"/>
          <w:szCs w:val="16"/>
        </w:rPr>
        <w:t xml:space="preserve">DX 134777 Bishopsgate  •  +44 (0)20 7946 0500  •  whitfieldcarter.com</w:t>
      </w:r>
    </w:p>
    <w:p>
      <w:pPr>
        <w:pBdr>
          <w:bottom w:val="single" w:color="1F3864" w:sz="8" w:space="1"/>
        </w:pBdr>
        <w:spacing w:after="200"/>
      </w:pPr>
    </w:p>
    <w:p>
      <w:pPr>
        <w:spacing w:after="10" w:before="0" w:line="276"/>
        <w:jc w:val="center"/>
      </w:pPr>
      <w:r>
        <w:rPr>
          <w:b/>
          <w:bCs/>
          <w:sz w:val="26"/>
          <w:szCs w:val="26"/>
        </w:rPr>
        <w:t xml:space="preserve">REPORT ON TITLE — DRAFT</w:t>
      </w:r>
    </w:p>
    <w:p>
      <w:pPr>
        <w:spacing w:after="10" w:before="0" w:line="276"/>
        <w:jc w:val="center"/>
      </w:pPr>
      <w:r>
        <w:rPr>
          <w:b/>
          <w:bCs/>
        </w:rPr>
        <w:t xml:space="preserve">Project Onyx — Onyx Point, Hartfield Distribution Park, Coventry CV3 4QR</w:t>
      </w:r>
    </w:p>
    <w:p>
      <w:pPr>
        <w:spacing w:after="160" w:before="0" w:line="276"/>
        <w:jc w:val="center"/>
      </w:pPr>
      <w:r>
        <w:rPr>
          <w:sz w:val="18"/>
          <w:szCs w:val="18"/>
        </w:rPr>
        <w:t xml:space="preserve">Prepared for Calderfield Capital Partners Limited  •  Draft — 24 February 2026  •  Ref SW/eo/CAL-0143</w:t>
      </w:r>
    </w:p>
    <w:p>
      <w:pPr>
        <w:pStyle w:val="Heading2"/>
      </w:pPr>
      <w:r>
        <w:t xml:space="preserve">1.  Introduction and scope</w:t>
      </w:r>
    </w:p>
    <w:p>
      <w:pPr>
        <w:spacing w:after="120" w:before="0" w:line="276"/>
      </w:pPr>
      <w:r>
        <w:t xml:space="preserve">This report summarises the results of our investigation of title to the Property and our review of the occupational leases, searches and replies to enquiries. It is addressed to Calderfield Capital Partners Limited and may not be relied on by any other person without our written consent. It should be read with the documents in the data room and is subject to the assumptions and qualifications in section 9.</w:t>
      </w:r>
    </w:p>
    <w:p>
      <w:pPr>
        <w:pStyle w:val="Heading2"/>
      </w:pPr>
      <w:r>
        <w:t xml:space="preserve">2.  The Property</w:t>
      </w:r>
    </w:p>
    <w:p>
      <w:pPr>
        <w:spacing w:after="120" w:before="0" w:line="276"/>
      </w:pPr>
      <w:r>
        <w:t xml:space="preserve">The Property is the freehold investment known as Onyx Point comprising four distribution units (A–D) of approximately 184,500 sq ft together with yard, parking and estate roads, registered at HM Land Registry under a single absolute freehold title number WM448210. The registered proprietor is Marrable Estates Limited.</w:t>
      </w:r>
    </w:p>
    <w:p>
      <w:pPr>
        <w:pStyle w:val="Heading2"/>
      </w:pPr>
      <w:r>
        <w:t xml:space="preserve">3.  Title</w:t>
      </w:r>
    </w:p>
    <w:p>
      <w:pPr>
        <w:spacing w:after="120" w:before="0" w:line="276"/>
      </w:pPr>
      <w:r>
        <w:t xml:space="preserve">Title is registered with absolute freehold title. The Property Register correctly describes the land by reference to the title plan. The Proprietorship Register shows Marrable Estates Limited as proprietor since 14 March 2016 and contains no restriction other than a standard Form A restriction in respect of a charge to Pennine Business Bank plc (item 5 below). No adverse entries or notices are registered.</w:t>
      </w:r>
    </w:p>
    <w:p>
      <w:pPr>
        <w:pStyle w:val="Heading2"/>
      </w:pPr>
      <w:r>
        <w:t xml:space="preserve">4.  Incumbrances (Charges Register)</w:t>
      </w:r>
    </w:p>
    <w:p>
      <w:pPr>
        <w:spacing w:after="120" w:before="0" w:line="276"/>
      </w:pPr>
      <w:r>
        <w:t xml:space="preserve">The Charges Register contains: (i) rights of way and rights for services reserved by the 2016 estate transfer, which are necessary for the use of the Property and do not adversely affect value; (ii) the four occupational leases noted against the title; and (iii) a registered legal charge dated 14 March 2016 in favour of Pennine Business Bank plc. The Seller has confirmed the charge will be discharged on completion and we will require a DS1 or electronic discharge before submitting our application to register.</w:t>
      </w:r>
    </w:p>
    <w:p>
      <w:pPr>
        <w:pStyle w:val="Heading2"/>
      </w:pPr>
      <w:r>
        <w:t xml:space="preserve">5.  Existing charge</w:t>
      </w:r>
    </w:p>
    <w:p>
      <w:pPr>
        <w:spacing w:after="120" w:before="0" w:line="276"/>
      </w:pPr>
      <w:r>
        <w:t xml:space="preserve">The legal charge to Pennine Business Bank plc must be discharged on or before completion. We have asked the Seller's solicitors to provide an undertaking to discharge and to forward the DS1 (or confirmation of electronic discharge) as soon as available. We recommend completion is not authorised until that undertaking is in place.</w:t>
      </w:r>
    </w:p>
    <w:p>
      <w:pPr>
        <w:pStyle w:val="Heading2"/>
      </w:pPr>
      <w:r>
        <w:t xml:space="preserve">6.  The Leases</w:t>
      </w:r>
    </w:p>
    <w:p>
      <w:pPr>
        <w:spacing w:after="120" w:before="0" w:line="276"/>
      </w:pPr>
      <w:r>
        <w:t xml:space="preserve">The Property is let under four full repairing and insuring leases (Units A–D) producing a passing rent of £1,329,000 per annum. The leases are on institutionally acceptable terms with five-yearly upward-only rent reviews, FRI repairing obligations and standard alienation and user provisions. Unit D expires on 25 March 2028 and represents the principal reversionary risk; the tenant is currently one month in arrears. Rent deposits are held for Units B and D and must be assigned to the Buyer on completion (see section 7).</w:t>
      </w:r>
    </w:p>
    <w:p>
      <w:pPr>
        <w:pStyle w:val="Heading2"/>
      </w:pPr>
      <w:r>
        <w:t xml:space="preserve">7.  Rent deposits and apportionments</w:t>
      </w:r>
    </w:p>
    <w:p>
      <w:pPr>
        <w:spacing w:after="120" w:before="0" w:line="276"/>
      </w:pPr>
      <w:r>
        <w:t xml:space="preserve">Rent deposit deeds are held for Unit B (£91,687.50) and Unit D (£38,962.50). The deposits will be apportioned to the Buyer on completion and notices of assignment served on the tenants. Rent and service charge will be apportioned as at the completion date; the contract provides for the Buyer to pursue any arrears and account to the Seller.</w:t>
      </w:r>
    </w:p>
    <w:p>
      <w:pPr>
        <w:pStyle w:val="Heading2"/>
      </w:pPr>
      <w:r>
        <w:t xml:space="preserve">8.  Searches</w:t>
      </w:r>
    </w:p>
    <w:p>
      <w:pPr>
        <w:spacing w:after="120" w:before="0" w:line="276"/>
      </w:pPr>
      <w:r>
        <w:t xml:space="preserve">The local authority (CON29 and LLC1), drainage and water, environmental (Groundsure) and chancel searches have been received and are clear. The environmental search returned a low overall risk consistent with the Phase 1 report obtained at construction. The local search disclosed no adverse planning entries or road schemes affecting the Property.</w:t>
      </w:r>
    </w:p>
    <w:p>
      <w:pPr>
        <w:pStyle w:val="Heading2"/>
      </w:pPr>
      <w:r>
        <w:t xml:space="preserve">9.  Assumptions, recommendations and outstanding matters</w:t>
      </w:r>
    </w:p>
    <w:p>
      <w:pPr>
        <w:spacing w:after="120" w:before="0" w:line="276"/>
      </w:pPr>
      <w:r>
        <w:t xml:space="preserve">Subject to (a) receipt of the lender's undertaking and DS1 for the Pennine Business Bank charge, (b) receipt of the signed rent authority letters, and (c) the Buyer's option to tax being made and notified to HMRC before completion, we are satisfied that the Property has a good and marketable title suitable for an institutional investment acquisition. We recommend the Buyer proceeds to exchange on the agreed terms.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1"/>
      </w:pBdr>
      <w:spacing w:before="60"/>
    </w:pPr>
    <w:r>
      <w:rPr>
        <w:color w:val="666666"/>
        <w:sz w:val="14"/>
        <w:szCs w:val="14"/>
      </w:rPr>
      <w:t xml:space="preserve">Whitfield Carter LLP is a limited liability partnership registered in England &amp; Wales (OC418842). A list of members is open to inspection at the registered office. Authorised and regulated by the Solicitors Regulation Authority.</w:t>
    </w:r>
  </w:p>
  <w:p>
    <w:pPr>
      <w:jc w:val="right"/>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1"/>
      </w:pBdr>
      <w:jc w:val="right"/>
    </w:pPr>
    <w:r>
      <w:rPr>
        <w:color w:val="666666"/>
        <w:sz w:val="16"/>
        <w:szCs w:val="16"/>
      </w:rPr>
      <w:t xml:space="preserve">Project Onyx — Report on Title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2026-06-26T13:39:12.159Z</dcterms:created>
  <dcterms:modified xsi:type="dcterms:W3CDTF">2026-06-26T13:39:12.159Z</dcterms:modified>
</cp:coreProperties>
</file>

<file path=docProps/custom.xml><?xml version="1.0" encoding="utf-8"?>
<Properties xmlns="http://schemas.openxmlformats.org/officeDocument/2006/custom-properties" xmlns:vt="http://schemas.openxmlformats.org/officeDocument/2006/docPropsVTypes"/>
</file>