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6"/>
          <w:szCs w:val="26"/>
        </w:rPr>
        <w:t xml:space="preserve">CPSE.1 (version 3.8) — GENERAL PRE-CONTRACT ENQUIRIES</w:t>
      </w:r>
    </w:p>
    <w:p>
      <w:pPr>
        <w:spacing w:after="120"/>
        <w:jc w:val="center"/>
      </w:pPr>
      <w:r>
        <w:t xml:space="preserve">Replies on behalf of the Seller, Hartmoor Estates Limited</w:t>
      </w:r>
    </w:p>
    <w:p>
      <w:pPr>
        <w:spacing w:after="200"/>
        <w:jc w:val="center"/>
      </w:pPr>
      <w:r>
        <w:rPr>
          <w:i/>
          <w:iCs/>
          <w:sz w:val="18"/>
          <w:szCs w:val="18"/>
        </w:rPr>
        <w:t xml:space="preserve">Property: Redwood House, 14 Aldersgate Street, London EC1A 4HD  |  Dated 6 March 2026</w:t>
      </w:r>
    </w:p>
    <w:p>
      <w:pPr>
        <w:spacing w:after="200"/>
      </w:pPr>
      <w:r>
        <w:rPr>
          <w:i/>
          <w:iCs/>
          <w:sz w:val="18"/>
          <w:szCs w:val="18"/>
        </w:rPr>
        <w:t xml:space="preserve">These replies are given by Pemberton Rowe LLP on behalf of the Seller without liability on the part of that firm and are believed to be correct but are not warranted. The Buyer should rely on its own searches, surveys and inspection.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026"/>
      </w:tblGrid>
      <w:tr>
        <w:trPr>
          <w:tblHeader/>
        </w:trPr>
        <w:tc>
          <w:tcPr>
            <w:tcW w:type="dxa" w:w="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left"/>
            </w:pPr>
            <w:r>
              <w:rPr>
                <w:b/>
                <w:bCs/>
                <w:color w:val="FFFFFF"/>
                <w:sz w:val="20"/>
                <w:szCs w:val="20"/>
              </w:rPr>
              <w:t xml:space="preserve">No.</w:t>
            </w:r>
          </w:p>
        </w:tc>
        <w:tc>
          <w:tcPr>
            <w:tcW w:type="dxa" w:w="4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right"/>
            </w:pPr>
            <w:r>
              <w:rPr>
                <w:b/>
                <w:bCs/>
                <w:color w:val="FFFFFF"/>
                <w:sz w:val="20"/>
                <w:szCs w:val="20"/>
              </w:rPr>
              <w:t xml:space="preserve">Enquiry</w:t>
            </w:r>
          </w:p>
        </w:tc>
        <w:tc>
          <w:tcPr>
            <w:tcW w:type="dxa" w:w="4026"/>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right"/>
            </w:pPr>
            <w:r>
              <w:rPr>
                <w:b/>
                <w:bCs/>
                <w:color w:val="FFFFFF"/>
                <w:sz w:val="20"/>
                <w:szCs w:val="20"/>
              </w:rPr>
              <w:t xml:space="preserve">Reply</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1</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Boundaries and extent — who owns the boundary structures?</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The Seller believes the boundary structures to be in its ownership but gives no warranty. The party wall to the north (adjoining 12 Aldersgate Street) is a party structure within the Party Wall etc. Act 1996.</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2</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Rights benefiting the Property</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The Property benefits from a right of way over the service road at the rear for refuse collection, and rights of support from the adjoining building, as referred to in the title.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3</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Adverse rights affecting the Property</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Save as disclosed in the registered title (including the 1968 restrictive covenant over the rear yard), the Seller is not aware of any adverse rights.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4</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Access to neighbouring land</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The Seller is not aware of any need to access neighbouring land save for the maintenance of the rear elevation, for which informal access has historically been granted.</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7</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Disputes</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There are no current disputes save for the outstanding 2024 rent review with Mercer Wells LLP, particulars of which have been provided separately.</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10</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Town and country planning</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The building has lawful office (Class E) use on the upper floors and retail (Class E) use at ground floor. Planning permission ref 21/00842/FULL (2021) authorised the ground-floor retail fit-out. The building lies within the Smithfield Conservation Area.</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12</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Statutory agreements and infrastructure</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There is a s.106 agreement dated 2008 relating to the original refurbishment, the obligations under which have been discharged (evidence provided).</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14</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Insurance</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The building is insured by the Seller under a block policy with Aldgate Specialty; the current sum insured is £38,500,000 on a reinstatement basis. A copy schedule is provided. The Buyer will arrange its own insurance from completion.</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15</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Environmental</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The Seller is not aware of any contamination. An environmental search has been carried out (passed). No notices have been received under Part IIA of the Environmental Protection Act 1990.</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16</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Services</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The Property is connected to mains water, drainage, electricity and gas. A separate sub-metering arrangement applies to the retail unit.</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19</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Occupiers and employees</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The Property is let to the four occupational tenants identified in the Tenancy Schedule. No persons occupy otherwise than under those leases. TUPE is not considered to apply to the management arrangements.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22</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Rents and rent reviews</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The passing rent is £1,487,500 per annum. The 2024 Mercer Wells review is outstanding; the Seller’s agents have quoted £792,000 p.a. No other reviews are currently outstanding.</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23</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Service charge</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The service charge year ends 31 December. Certified accounts for the year to 31 December 2025 show expenditure of £214,600. There is a void apportionment of £7,200 relating to a vacant basement store. There is no sinking or reserve fund.</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20"/>
                <w:szCs w:val="20"/>
              </w:rPr>
              <w:t xml:space="preserve">24</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Deposits and guarantees</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b w:val="false"/>
                <w:bCs w:val="false"/>
                <w:sz w:val="20"/>
                <w:szCs w:val="20"/>
              </w:rPr>
              <w:t xml:space="preserve">A rent deposit of £180,000 is held in respect of the Mercer Wells lease under a rent deposit deed dated 2 April 2019. No other deposits or guarantees are held.</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color w:val="888888"/>
        <w:sz w:val="13"/>
        <w:szCs w:val="13"/>
      </w:rPr>
      <w:t xml:space="preserve">Whitfield Carter LLP is a limited liability partnership registered in England &amp; Wales (OC— ). Confidential and may be legally privileged.</w:t>
    </w:r>
  </w:p>
  <w:p>
    <w:pPr>
      <w:tabs>
        <w:tab w:val="right" w:pos="9026"/>
      </w:tabs>
    </w:pPr>
    <w:r>
      <w:rPr>
        <w:sz w:val="14"/>
        <w:szCs w:val="14"/>
      </w:rPr>
      <w:t xml:space="preserve"/>
    </w:r>
    <w:r>
      <w:rPr>
        <w:sz w:val="14"/>
        <w:szCs w:val="14"/>
      </w:rPr>
      <w:t xml:space="preserve">	Page </w:t>
    </w:r>
    <w:r>
      <w:rPr>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1F3864"/>
        <w:sz w:val="26"/>
        <w:szCs w:val="26"/>
      </w:rPr>
      <w:t xml:space="preserve">WHITFIELD CARTER LLP</w:t>
    </w:r>
  </w:p>
  <w:p>
    <w:pPr>
      <w:pBdr>
        <w:bottom w:val="single" w:color="1F3864" w:sz="6" w:space="1"/>
      </w:pBdr>
    </w:pPr>
    <w:r>
      <w:rPr>
        <w:color w:val="555555"/>
        <w:sz w:val="14"/>
        <w:szCs w:val="14"/>
      </w:rPr>
      <w:t xml:space="preserve">22 Bishopsgate, London EC2N 4BQ  •  DX 134777 Bishopsgate  •  +44 (0)20 7946 0500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900" w:hanging="600"/>
      </w:pPr>
    </w:lvl>
    <w:lvl w:ilvl="2" w15:tentative="1">
      <w:start w:val="1"/>
      <w:numFmt w:val="lowerLetter"/>
      <w:lvlText w:val="(%3)"/>
      <w:lvlJc w:val="left"/>
      <w:pPr>
        <w:ind w:left="1300" w:hanging="5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2026-06-29T18:01:55.591Z</dcterms:created>
  <dcterms:modified xsi:type="dcterms:W3CDTF">2026-06-29T18:01:55.591Z</dcterms:modified>
</cp:coreProperties>
</file>

<file path=docProps/custom.xml><?xml version="1.0" encoding="utf-8"?>
<Properties xmlns="http://schemas.openxmlformats.org/officeDocument/2006/custom-properties" xmlns:vt="http://schemas.openxmlformats.org/officeDocument/2006/docPropsVTypes"/>
</file>