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i/>
          <w:iCs/>
          <w:sz w:val="20"/>
          <w:szCs w:val="20"/>
        </w:rPr>
        <w:t xml:space="preserve">Strictly private and confidential</w:t>
      </w:r>
    </w:p>
    <w:p>
      <w:pPr>
        <w:spacing w:after="120"/>
      </w:pPr>
      <w:r>
        <w:t xml:space="preserve">Mr Tom Beckworth</w:t>
      </w:r>
    </w:p>
    <w:p>
      <w:pPr>
        <w:spacing w:after="120"/>
      </w:pPr>
      <w:r>
        <w:t xml:space="preserve">Head of Acquisitions</w:t>
      </w:r>
    </w:p>
    <w:p>
      <w:pPr>
        <w:spacing w:after="120"/>
      </w:pPr>
      <w:r>
        <w:t xml:space="preserve">Calderfield Capital Partners Limited</w:t>
      </w:r>
    </w:p>
    <w:p>
      <w:pPr>
        <w:spacing w:after="160"/>
      </w:pPr>
      <w:r>
        <w:t xml:space="preserve">8 Finsbury Circus, London EC2M 7EA</w:t>
      </w:r>
    </w:p>
    <w:p>
      <w:pPr>
        <w:tabs>
          <w:tab w:val="right" w:pos="9026"/>
        </w:tabs>
        <w:spacing w:after="160"/>
      </w:pPr>
      <w:r>
        <w:t xml:space="preserve">Our ref: SW/jo/CAL-0185</w:t>
      </w:r>
      <w:r>
        <w:t xml:space="preserve">	12 February 2026</w:t>
      </w:r>
    </w:p>
    <w:p>
      <w:pPr>
        <w:spacing w:after="120"/>
      </w:pPr>
      <w:r>
        <w:t xml:space="preserve">Dear Tom</w:t>
      </w:r>
    </w:p>
    <w:p>
      <w:pPr>
        <w:spacing w:after="160"/>
      </w:pPr>
      <w:r>
        <w:rPr>
          <w:b/>
          <w:bCs/>
        </w:rPr>
        <w:t xml:space="preserve">Project Redwood — proposed acquisition of Redwood House, 14 Aldersgate Street, London EC1A 4HD</w:t>
      </w:r>
    </w:p>
    <w:p>
      <w:pPr>
        <w:spacing w:after="120"/>
      </w:pPr>
      <w:r>
        <w:t xml:space="preserve">Thank you for instructing Whitfield Carter LLP in connection with the proposed acquisition by Calderfield Capital Partners Limited, or a wholly-owned special purpose vehicle to be nominated by it (currently expected to be Calderfield Redwood Propco Limited), of the freehold investment property known as Redwood House, 14 Aldersgate Street, London EC1A 4HD, comprising a six-storey office building with ancillary ground-floor retail unit, currently let to four occupational tenants (the “Property”).</w:t>
      </w:r>
    </w:p>
    <w:p>
      <w:pPr>
        <w:spacing w:after="120"/>
      </w:pPr>
      <w:r>
        <w:t xml:space="preserve">This letter, together with our enclosed Terms of Business, sets out the basis on which we will act for you.</w:t>
      </w:r>
    </w:p>
    <w:p>
      <w:pPr>
        <w:pStyle w:val="Heading2"/>
      </w:pPr>
      <w:r>
        <w:t xml:space="preserve">1. Scope of our engagement</w:t>
      </w:r>
    </w:p>
    <w:p>
      <w:pPr>
        <w:spacing w:after="120"/>
      </w:pPr>
      <w:r>
        <w:t xml:space="preserve">We will advise on and carry out the legal work necessary to acquire the Property by way of a freehold purchase from Hartmoor Estates Limited (the “Seller”), including: reviewing the registered title and the existing occupational leases; raising and reviewing pre-contract enquiries (CPSE.1 and property-specific enquiries); reviewing search results; reporting to you on title and the tenancies; negotiating and agreeing the sale contract and the TR1 transfer; advising on the apportionment of rents and service charge; and dealing with exchange, completion, payment of Stamp Duty Land Tax and registration at HM Land Registry.</w:t>
      </w:r>
    </w:p>
    <w:p>
      <w:pPr>
        <w:spacing w:after="120"/>
      </w:pPr>
      <w:r>
        <w:t xml:space="preserve">Our engagement does not extend to tax structuring advice (other than SDLT compliance and submission of the SDLT return), environmental, building or measured surveys, or valuation, each of which you have confirmed is being dealt with by your own advisers.</w:t>
      </w:r>
    </w:p>
    <w:p>
      <w:pPr>
        <w:pStyle w:val="Heading2"/>
      </w:pPr>
      <w:r>
        <w:t xml:space="preserve">2. Our team</w:t>
      </w:r>
    </w:p>
    <w:p>
      <w:pPr>
        <w:spacing w:after="120"/>
      </w:pPr>
      <w:r>
        <w:t xml:space="preserve">The matter will be led by Sarah Whitfield (Partner), supported by James Osei (Senior Associate), who will have day-to-day conduct, and Elena Marchetti (Associate). Sarah retains overall responsibility for the quality of our work.</w:t>
      </w:r>
    </w:p>
    <w:p>
      <w:pPr>
        <w:pStyle w:val="Heading2"/>
      </w:pPr>
      <w:r>
        <w:t xml:space="preserve">3. Fees and disbursements</w:t>
      </w:r>
    </w:p>
    <w:p>
      <w:pPr>
        <w:spacing w:after="120"/>
      </w:pPr>
      <w:r>
        <w:t xml:space="preserve">We estimate our fees for the work described above at between £46,000 and £58,000 plus VAT, based on the hourly rates set out in the enclosed Terms of Business (currently £640 for Sarah, £445 for James and £320 for Elena). This estimate assumes a single freehold registered title in reasonable order and no more than two substantive rounds of negotiation on the sale contract. Disbursements will include HM Land Registry search and registration fees, the cost of pre-completion searches, and the Land Registry application fee on completion, which on a consideration of £21,750,000 will be £1,105.</w:t>
      </w:r>
    </w:p>
    <w:p>
      <w:pPr>
        <w:pStyle w:val="Heading2"/>
      </w:pPr>
      <w:r>
        <w:t xml:space="preserve">4. Stamp Duty Land Tax</w:t>
      </w:r>
    </w:p>
    <w:p>
      <w:pPr>
        <w:spacing w:after="120"/>
      </w:pPr>
      <w:r>
        <w:t xml:space="preserve">On the expected consideration of £21,750,000, SDLT at the non-residential rates will be approximately £1,077,000. We will prepare and submit the SDLT return and arrange payment from completion funds, but the SDLT liability is yours and we recommend you confirm the figure with your tax advisers, particularly as to any availability of multiple dwellings or other relief, which we do not expect to apply here.</w:t>
      </w:r>
    </w:p>
    <w:p>
      <w:pPr>
        <w:pStyle w:val="Heading2"/>
      </w:pPr>
      <w:r>
        <w:t xml:space="preserve">5. Client identification and source of funds</w:t>
      </w:r>
    </w:p>
    <w:p>
      <w:pPr>
        <w:spacing w:after="120"/>
      </w:pPr>
      <w:r>
        <w:t xml:space="preserve">We are required by law to verify the identity of our client and, where relevant, the source of the funds used in the transaction. We will write separately to the directors of the nominated SPV with our standard identification requirements. Please ensure these are returned promptly, as we cannot exchange contracts until our checks are complete.</w:t>
      </w:r>
    </w:p>
    <w:p>
      <w:pPr>
        <w:pStyle w:val="Heading2"/>
      </w:pPr>
      <w:r>
        <w:t xml:space="preserve">6. Terms of business</w:t>
      </w:r>
    </w:p>
    <w:p>
      <w:pPr>
        <w:spacing w:after="120"/>
      </w:pPr>
      <w:r>
        <w:t xml:space="preserve">Our engagement is subject to the enclosed Terms of Business, which include important provisions on our liability, the basis of charging, and complaints handling. Please sign and return the enclosed copy of this letter to confirm your acceptance of those terms.</w:t>
      </w:r>
    </w:p>
    <w:p>
      <w:pPr>
        <w:spacing w:after="200"/>
      </w:pPr>
      <w:r>
        <w:t xml:space="preserve">We look forward to working with you on this acquisition. Please do not hesitate to contact me or James with any questions.</w:t>
      </w:r>
    </w:p>
    <w:p>
      <w:pPr>
        <w:spacing w:after="360"/>
      </w:pPr>
      <w:r>
        <w:t xml:space="preserve">Yours sincerely</w:t>
      </w:r>
    </w:p>
    <w:p>
      <w:pPr>
        <w:spacing w:after="120"/>
      </w:pPr>
      <w:r>
        <w:rPr>
          <w:b/>
          <w:bCs/>
        </w:rPr>
        <w:t xml:space="preserve">Sarah Whitfield</w:t>
      </w:r>
    </w:p>
    <w:p>
      <w:pPr>
        <w:spacing w:after="120"/>
      </w:pPr>
      <w:r>
        <w:t xml:space="preserve">Partner — Real Estate</w:t>
      </w:r>
    </w:p>
    <w:p>
      <w:pPr>
        <w:spacing w:after="120"/>
      </w:pPr>
      <w:r>
        <w:t xml:space="preserve">Whitfield Carter LLP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color w:val="888888"/>
        <w:sz w:val="13"/>
        <w:szCs w:val="13"/>
      </w:rPr>
      <w:t xml:space="preserve">Whitfield Carter LLP is a limited liability partnership registered in England &amp; Wales (OC— ). Confidential and may be legally privileged.</w:t>
    </w:r>
  </w:p>
  <w:p>
    <w:pPr>
      <w:tabs>
        <w:tab w:val="right" w:pos="9026"/>
      </w:tabs>
    </w:pPr>
    <w:r>
      <w:rPr>
        <w:sz w:val="14"/>
        <w:szCs w:val="14"/>
      </w:rPr>
      <w:t xml:space="preserve"/>
    </w:r>
    <w:r>
      <w:rPr>
        <w:sz w:val="14"/>
        <w:szCs w:val="14"/>
      </w:rPr>
      <w:t xml:space="preserve">	Page </w:t>
    </w:r>
    <w:r>
      <w:rPr>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6"/>
        <w:szCs w:val="26"/>
      </w:rPr>
      <w:t xml:space="preserve">WHITFIELD CARTER LLP</w:t>
    </w:r>
  </w:p>
  <w:p>
    <w:pPr>
      <w:pBdr>
        <w:bottom w:val="single" w:color="1F3864" w:sz="6" w:space="1"/>
      </w:pBdr>
    </w:pPr>
    <w:r>
      <w:rPr>
        <w:color w:val="555555"/>
        <w:sz w:val="14"/>
        <w:szCs w:val="14"/>
      </w:rPr>
      <w:t xml:space="preserve">22 Bishopsgate, London EC2N 4BQ  •  DX 134777 Bishopsgate  •  +44 (0)20 7946 0500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900" w:hanging="600"/>
      </w:pPr>
    </w:lvl>
    <w:lvl w:ilvl="2" w15:tentative="1">
      <w:start w:val="1"/>
      <w:numFmt w:val="lowerLetter"/>
      <w:lvlText w:val="(%3)"/>
      <w:lvlJc w:val="left"/>
      <w:pPr>
        <w:ind w:left="1300" w:hanging="5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2026-06-29T18:01:55.489Z</dcterms:created>
  <dcterms:modified xsi:type="dcterms:W3CDTF">2026-06-29T18:01:55.490Z</dcterms:modified>
</cp:coreProperties>
</file>

<file path=docProps/custom.xml><?xml version="1.0" encoding="utf-8"?>
<Properties xmlns="http://schemas.openxmlformats.org/officeDocument/2006/custom-properties" xmlns:vt="http://schemas.openxmlformats.org/officeDocument/2006/docPropsVTypes"/>
</file>