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864"/>
          <w:sz w:val="28"/>
          <w:szCs w:val="28"/>
        </w:rPr>
        <w:t xml:space="preserve">Whitfield Carter LLP</w:t>
      </w:r>
    </w:p>
    <w:p>
      <w:pPr>
        <w:spacing w:after="0"/>
      </w:pPr>
      <w:r>
        <w:rPr>
          <w:color w:val="595959"/>
          <w:sz w:val="18"/>
          <w:szCs w:val="18"/>
        </w:rPr>
        <w:t xml:space="preserve">22 Bishopsgate, London EC2N 4BQ</w:t>
      </w:r>
    </w:p>
    <w:p>
      <w:pPr>
        <w:pBdr>
          <w:bottom w:val="single" w:color="1F3864" w:sz="6" w:space="4"/>
        </w:pBdr>
        <w:spacing w:after="200"/>
      </w:pPr>
      <w:r>
        <w:rPr>
          <w:color w:val="595959"/>
          <w:sz w:val="18"/>
          <w:szCs w:val="18"/>
        </w:rPr>
        <w:t xml:space="preserve">T +44 (0)20 7946 0100   whitfieldcarter.com</w:t>
      </w:r>
    </w:p>
    <w:p>
      <w:pPr>
        <w:pStyle w:val="Title"/>
      </w:pPr>
      <w:r>
        <w:t xml:space="preserve">REPLIES TO COMMERCIAL PROPERTY STANDARD ENQUIRIES</w:t>
      </w:r>
    </w:p>
    <w:p>
      <w:pPr>
        <w:spacing w:after="120" w:line="276"/>
        <w:jc w:val="center"/>
        <w:rPr>
          <w:b/>
          <w:bCs/>
        </w:rPr>
      </w:pPr>
      <w:r>
        <w:rPr>
          <w:b/>
          <w:bCs/>
        </w:rPr>
        <w:t xml:space="preserve">CPSE.1 (version 3.8) — General pre-contract enquiries for the grant of a new lease</w:t>
      </w:r>
    </w:p>
    <w:p>
      <w:pPr>
        <w:spacing w:after="120" w:line="276"/>
        <w:jc w:val="center"/>
        <w:rPr>
          <w:color w:val="7F7F7F"/>
          <w:sz w:val="18"/>
          <w:szCs w:val="18"/>
        </w:rPr>
      </w:pPr>
      <w:r>
        <w:rPr>
          <w:color w:val="7F7F7F"/>
          <w:sz w:val="18"/>
          <w:szCs w:val="18"/>
        </w:rPr>
        <w:t xml:space="preserve">Property: Vertex House, 14–18 Calder Street, Leeds LS1 5QT  |  Landlord: Calderfield Capital Partners Limited  |  Tenant: Larchmont Advisory Group Limited</w:t>
      </w:r>
    </w:p>
    <w:p>
      <w:pPr>
        <w:spacing w:after="200"/>
        <w:jc w:val="center"/>
        <w:rPr>
          <w:color w:val="7F7F7F"/>
          <w:sz w:val="18"/>
          <w:szCs w:val="18"/>
        </w:rPr>
      </w:pPr>
      <w:r>
        <w:rPr>
          <w:color w:val="7F7F7F"/>
          <w:sz w:val="18"/>
          <w:szCs w:val="18"/>
        </w:rPr>
        <w:t xml:space="preserve">Replies given by Whitfield Carter LLP on behalf of the Landlord — 21 November 2025</w:t>
      </w:r>
    </w:p>
    <w:p>
      <w:pPr>
        <w:spacing w:after="120" w:line="276"/>
        <w:rPr>
          <w:i/>
          <w:iCs/>
          <w:color w:val="7F7F7F"/>
          <w:sz w:val="18"/>
          <w:szCs w:val="18"/>
        </w:rPr>
      </w:pPr>
      <w:r>
        <w:rPr>
          <w:i/>
          <w:iCs/>
          <w:color w:val="7F7F7F"/>
          <w:sz w:val="18"/>
          <w:szCs w:val="18"/>
        </w:rPr>
        <w:t xml:space="preserve">These replies are given on behalf of the Landlord, who does not give any warranty as to their accuracy except as expressly stated. The Tenant should make its own enquiries and inspections. “the Property” means Vertex House and “the Premises” means the third floor to be demised.</w:t>
      </w:r>
    </w:p>
    <w:p>
      <w:pPr>
        <w:pStyle w:val="Heading2"/>
      </w:pPr>
      <w:r>
        <w:t xml:space="preserve">1. Boundaries and extent</w:t>
      </w:r>
    </w:p>
    <w:p>
      <w:pPr>
        <w:spacing w:after="120" w:line="276"/>
      </w:pPr>
      <w:r>
        <w:t xml:space="preserve">1.1  The Premises comprise the whole of the third floor as shown edged red on the lease plan. The Landlord owns the freehold of the whole Building under title number WYK582140. 1.2  The Landlord is not aware of any boundary disputes affecting the Building.</w:t>
      </w:r>
    </w:p>
    <w:p>
      <w:pPr>
        <w:pStyle w:val="Heading2"/>
      </w:pPr>
      <w:r>
        <w:t xml:space="preserve">2. Party walls</w:t>
      </w:r>
    </w:p>
    <w:p>
      <w:pPr>
        <w:spacing w:after="120" w:line="276"/>
      </w:pPr>
      <w:r>
        <w:t xml:space="preserve">2.1  The Landlord is not aware of any notices, agreements or works under the Party Wall etc. Act 1996 affecting the Premises.</w:t>
      </w:r>
    </w:p>
    <w:p>
      <w:pPr>
        <w:pStyle w:val="Heading2"/>
      </w:pPr>
      <w:r>
        <w:t xml:space="preserve">3. Rights benefiting the Property</w:t>
      </w:r>
    </w:p>
    <w:p>
      <w:pPr>
        <w:spacing w:after="120" w:line="276"/>
      </w:pPr>
      <w:r>
        <w:t xml:space="preserve">3.1  The Premises will be let with the rights set out in Part 1 of Schedule 1 to the draft lease, including rights of access, use of the common parts, lifts, lavatories and the loading bay, and the passage of services through the Building.</w:t>
      </w:r>
    </w:p>
    <w:p>
      <w:pPr>
        <w:pStyle w:val="Heading2"/>
      </w:pPr>
      <w:r>
        <w:t xml:space="preserve">4. Adverse rights affecting the Property</w:t>
      </w:r>
    </w:p>
    <w:p>
      <w:pPr>
        <w:spacing w:after="120" w:line="276"/>
      </w:pPr>
      <w:r>
        <w:t xml:space="preserve">4.1  The Premises are let subject to the matters contained or referred to in the registers of title WYK582140, a copy of which has been supplied. 4.2  The Landlord is not aware of any other adverse rights, easements or third-party rights affecting the Premises save as disclosed.</w:t>
      </w:r>
    </w:p>
    <w:p>
      <w:pPr>
        <w:pStyle w:val="Heading2"/>
      </w:pPr>
      <w:r>
        <w:t xml:space="preserve">5. Title policies</w:t>
      </w:r>
    </w:p>
    <w:p>
      <w:pPr>
        <w:spacing w:after="120" w:line="276"/>
      </w:pPr>
      <w:r>
        <w:t xml:space="preserve">5.1  There is no defective title indemnity policy in place affecting the Premises.</w:t>
      </w:r>
    </w:p>
    <w:p>
      <w:pPr>
        <w:pStyle w:val="Heading2"/>
      </w:pPr>
      <w:r>
        <w:t xml:space="preserve">6. Access to neighbouring land</w:t>
      </w:r>
    </w:p>
    <w:p>
      <w:pPr>
        <w:spacing w:after="120" w:line="276"/>
      </w:pPr>
      <w:r>
        <w:t xml:space="preserve">6.1  Access to the Premises is taken from the common parts of the Building; no access over third-party land is required.</w:t>
      </w:r>
    </w:p>
    <w:p>
      <w:pPr>
        <w:pStyle w:val="Heading2"/>
      </w:pPr>
      <w:r>
        <w:t xml:space="preserve">7. Physical condition</w:t>
      </w:r>
    </w:p>
    <w:p>
      <w:pPr>
        <w:spacing w:after="120" w:line="276"/>
      </w:pPr>
      <w:r>
        <w:t xml:space="preserve">7.1  The Premises are offered in their present condition. A photographic schedule of condition is to be annexed to the lease and the Tenant’s repairing obligation is limited by reference to it. 7.2  The Landlord is not aware of any structural defect, but gives no warranty as to condition and the Tenant should rely on its own survey. 7.3  The Landlord is not aware of the presence of any deleterious materials or asbestos in the Premises beyond that recorded in the asbestos register, a copy of which is available for inspection.</w:t>
      </w:r>
    </w:p>
    <w:p>
      <w:pPr>
        <w:pStyle w:val="Heading2"/>
      </w:pPr>
      <w:r>
        <w:t xml:space="preserve">8. Contents</w:t>
      </w:r>
    </w:p>
    <w:p>
      <w:pPr>
        <w:spacing w:after="120" w:line="276"/>
      </w:pPr>
      <w:r>
        <w:t xml:space="preserve">8.1  No contents are included in the letting. The Premises are let as a shell-and-core, Category A finished floor.</w:t>
      </w:r>
    </w:p>
    <w:p>
      <w:pPr>
        <w:pStyle w:val="Heading2"/>
      </w:pPr>
      <w:r>
        <w:t xml:space="preserve">9. Utilities and services</w:t>
      </w:r>
    </w:p>
    <w:p>
      <w:pPr>
        <w:spacing w:after="120" w:line="276"/>
      </w:pPr>
      <w:r>
        <w:t xml:space="preserve">9.1  The Premises are served by mains electricity, water and drainage and by the Building’s shared heating, cooling and life-safety systems through the service media. 9.2  The Landlord maintains the central plant and recovers the cost through the service charge.</w:t>
      </w:r>
    </w:p>
    <w:p>
      <w:pPr>
        <w:pStyle w:val="Heading2"/>
      </w:pPr>
      <w:r>
        <w:t xml:space="preserve">10. Fire safety and means of escape</w:t>
      </w:r>
    </w:p>
    <w:p>
      <w:pPr>
        <w:spacing w:after="120" w:line="276"/>
      </w:pPr>
      <w:r>
        <w:t xml:space="preserve">10.1  The Building has a current fire risk assessment; the means of escape from the Premises are via the two protected staircases and the common parts. The Building has an EPC rating of B (certificate reference 0830-1942-0377-2299-7004).</w:t>
      </w:r>
    </w:p>
    <w:p>
      <w:pPr>
        <w:pStyle w:val="Heading2"/>
      </w:pPr>
      <w:r>
        <w:t xml:space="preserve">11. Environmental</w:t>
      </w:r>
    </w:p>
    <w:p>
      <w:pPr>
        <w:spacing w:after="120" w:line="276"/>
      </w:pPr>
      <w:r>
        <w:t xml:space="preserve">11.1  The Landlord is not aware of any contamination affecting the Building or of any notice under environmental legislation.</w:t>
      </w:r>
    </w:p>
    <w:p>
      <w:pPr>
        <w:pStyle w:val="Heading2"/>
      </w:pPr>
      <w:r>
        <w:t xml:space="preserve">12. Occupiers and employees</w:t>
      </w:r>
    </w:p>
    <w:p>
      <w:pPr>
        <w:spacing w:after="120" w:line="276"/>
      </w:pPr>
      <w:r>
        <w:t xml:space="preserve">12.1  The Premises are vacant and the Landlord is not aware of any person in occupation or with any right to occupy. 12.2  No transfer under TUPE arises on the grant of the lease.</w:t>
      </w:r>
    </w:p>
    <w:p>
      <w:pPr>
        <w:pStyle w:val="Heading2"/>
      </w:pPr>
      <w:r>
        <w:t xml:space="preserve">13. Insurance</w:t>
      </w:r>
    </w:p>
    <w:p>
      <w:pPr>
        <w:spacing w:after="120" w:line="276"/>
      </w:pPr>
      <w:r>
        <w:t xml:space="preserve">13.1  The Landlord insures the Building and recovers the insurance rent from the tenants. A summary of cover and the current premium apportionment has been supplied. 13.2  The Landlord is not aware of any circumstance that would or might vitiate the policy or lead to an increased premium by reason of the Tenant’s permitted use.</w:t>
      </w:r>
    </w:p>
    <w:p>
      <w:pPr>
        <w:pStyle w:val="Heading2"/>
      </w:pPr>
      <w:r>
        <w:t xml:space="preserve">14. Rates and outgoings</w:t>
      </w:r>
    </w:p>
    <w:p>
      <w:pPr>
        <w:spacing w:after="120" w:line="276"/>
      </w:pPr>
      <w:r>
        <w:t xml:space="preserve">14.1  The Premises have not been separately assessed for non-domestic rates and the Tenant should make its own enquiry of the local billing authority. The Building’s rateable value is apportioned between the lettable floors.</w:t>
      </w:r>
    </w:p>
    <w:p>
      <w:pPr>
        <w:pStyle w:val="Heading2"/>
      </w:pPr>
      <w:r>
        <w:t xml:space="preserve">15. Capital allowances</w:t>
      </w:r>
    </w:p>
    <w:p>
      <w:pPr>
        <w:spacing w:after="120" w:line="276"/>
      </w:pPr>
      <w:r>
        <w:t xml:space="preserve">15.1  No election or apportionment of capital allowances arises on the grant of a new lease.</w:t>
      </w:r>
    </w:p>
    <w:p>
      <w:pPr>
        <w:pStyle w:val="Heading2"/>
      </w:pPr>
      <w:r>
        <w:t xml:space="preserve">16. VAT</w:t>
      </w:r>
    </w:p>
    <w:p>
      <w:pPr>
        <w:spacing w:after="120" w:line="276"/>
      </w:pPr>
      <w:r>
        <w:t xml:space="preserve">16.1  The Landlord has exercised the option to tax the Building. VAT at the standard rate will be charged on the principal rent, service charge, insurance rent and other sums reserved as rent.</w:t>
      </w:r>
    </w:p>
    <w:p>
      <w:pPr>
        <w:pStyle w:val="Heading2"/>
      </w:pPr>
      <w:r>
        <w:t xml:space="preserve">17. Town and country planning</w:t>
      </w:r>
    </w:p>
    <w:p>
      <w:pPr>
        <w:spacing w:after="120" w:line="276"/>
      </w:pPr>
      <w:r>
        <w:t xml:space="preserve">17.1  The Building has the benefit of planning permission for use within Class E. The Landlord is not aware of any breach of planning control or of any enforcement notice. 17.2  The Premises are not listed and are not in a conservation area; the Building is not subject to an Article 4 direction.</w:t>
      </w:r>
    </w:p>
    <w:p>
      <w:pPr>
        <w:pStyle w:val="Heading2"/>
      </w:pPr>
      <w:r>
        <w:t xml:space="preserve">18. Statutory agreements and infrastructure</w:t>
      </w:r>
    </w:p>
    <w:p>
      <w:pPr>
        <w:spacing w:after="120" w:line="276"/>
      </w:pPr>
      <w:r>
        <w:t xml:space="preserve">18.1  The Landlord is not aware of any subsisting agreement under section 106 of the Town and Country Planning Act 1990 or section 278 of the Highways Act 1980 affecting the Premises.</w:t>
      </w:r>
    </w:p>
    <w:p>
      <w:pPr>
        <w:pStyle w:val="Heading2"/>
      </w:pPr>
      <w:r>
        <w:t xml:space="preserve">19. Disputes</w:t>
      </w:r>
    </w:p>
    <w:p>
      <w:pPr>
        <w:spacing w:after="120" w:line="276"/>
      </w:pPr>
      <w:r>
        <w:t xml:space="preserve">19.1  The Landlord is not aware of any dispute, claim or complaint relating to the Premises or their use.</w:t>
      </w:r>
    </w:p>
    <w:p>
      <w:pPr>
        <w:pStyle w:val="Heading2"/>
      </w:pPr>
      <w:r>
        <w:t xml:space="preserve">20. Notices</w:t>
      </w:r>
    </w:p>
    <w:p>
      <w:pPr>
        <w:spacing w:after="120" w:line="276"/>
      </w:pPr>
      <w:r>
        <w:t xml:space="preserve">20.1  The Landlord has not given or received any notice affecting the Premises save as disclosed in these replies and the title.</w:t>
      </w:r>
    </w:p>
    <w:p>
      <w:pPr>
        <w:spacing w:before="200"/>
        <w:rPr>
          <w:color w:val="595959"/>
          <w:sz w:val="18"/>
          <w:szCs w:val="18"/>
        </w:rPr>
      </w:pPr>
      <w:r>
        <w:rPr>
          <w:color w:val="595959"/>
          <w:sz w:val="18"/>
          <w:szCs w:val="18"/>
        </w:rPr>
        <w:t xml:space="preserve">Whitfield Carter LLP
22 Bishopsgate, London EC2N 4BQ
Reference: VERTEX/EM/WC-00156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is a limited liability partnership registered in England and Wales (OC418827). Confidential and may be legally privileged.</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Vertex — CPSE.1 Replies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2026-06-27T22:13:38.860Z</dcterms:created>
  <dcterms:modified xsi:type="dcterms:W3CDTF">2026-06-27T22:13:38.860Z</dcterms:modified>
</cp:coreProperties>
</file>

<file path=docProps/custom.xml><?xml version="1.0" encoding="utf-8"?>
<Properties xmlns="http://schemas.openxmlformats.org/officeDocument/2006/custom-properties" xmlns:vt="http://schemas.openxmlformats.org/officeDocument/2006/docPropsVTypes"/>
</file>