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28"/>
          <w:szCs w:val="28"/>
        </w:rPr>
        <w:t xml:space="preserve">Whitfield Carter LLP</w:t>
      </w:r>
    </w:p>
    <w:p>
      <w:pPr>
        <w:spacing w:after="0"/>
      </w:pPr>
      <w:r>
        <w:rPr>
          <w:color w:val="595959"/>
          <w:sz w:val="18"/>
          <w:szCs w:val="18"/>
        </w:rPr>
        <w:t xml:space="preserve">22 Bishopsgate, London EC2N 4BQ</w:t>
      </w:r>
    </w:p>
    <w:p>
      <w:pPr>
        <w:pBdr>
          <w:bottom w:val="single" w:color="1F3864" w:sz="6" w:space="4"/>
        </w:pBdr>
        <w:spacing w:after="200"/>
      </w:pPr>
      <w:r>
        <w:rPr>
          <w:color w:val="595959"/>
          <w:sz w:val="18"/>
          <w:szCs w:val="18"/>
        </w:rPr>
        <w:t xml:space="preserve">T +44 (0)20 7946 0100   whitfieldcarter.com</w:t>
      </w:r>
    </w:p>
    <w:p>
      <w:pPr>
        <w:pStyle w:val="Title"/>
      </w:pPr>
      <w:r>
        <w:t xml:space="preserve">COMPLETION CHECKLIST</w:t>
      </w:r>
    </w:p>
    <w:p>
      <w:pPr>
        <w:spacing w:after="120" w:line="276"/>
        <w:jc w:val="center"/>
        <w:rPr>
          <w:b/>
          <w:bCs/>
        </w:rPr>
      </w:pPr>
      <w:r>
        <w:rPr>
          <w:b/>
          <w:bCs/>
        </w:rPr>
        <w:t xml:space="preserve">Project Vertex — Grant of new lease of Third Floor, Vertex House</w:t>
      </w:r>
    </w:p>
    <w:p>
      <w:pPr>
        <w:spacing w:after="160"/>
        <w:jc w:val="center"/>
        <w:rPr>
          <w:color w:val="7F7F7F"/>
          <w:sz w:val="18"/>
          <w:szCs w:val="18"/>
        </w:rPr>
      </w:pPr>
      <w:r>
        <w:rPr>
          <w:color w:val="7F7F7F"/>
          <w:sz w:val="18"/>
          <w:szCs w:val="18"/>
        </w:rPr>
        <w:t xml:space="preserve">Target completion: 19 January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400"/>
        <w:gridCol w:w="1560"/>
      </w:tblGrid>
      <w:tr>
        <w:tc>
          <w:tcPr>
            <w:tcW w:type="dxa" w:w="5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left"/>
            </w:pPr>
            <w:r>
              <w:rPr>
                <w:b/>
                <w:bCs/>
                <w:color w:val="FFFFFF"/>
              </w:rPr>
              <w:t xml:space="preserve">Document / step</w:t>
            </w:r>
          </w:p>
        </w:tc>
        <w:tc>
          <w:tcPr>
            <w:tcW w:type="dxa" w:w="24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left"/>
            </w:pPr>
            <w:r>
              <w:rPr>
                <w:b/>
                <w:bCs/>
                <w:color w:val="FFFFFF"/>
              </w:rPr>
              <w:t xml:space="preserve">Responsible</w:t>
            </w:r>
          </w:p>
        </w:tc>
        <w:tc>
          <w:tcPr>
            <w:tcW w:type="dxa" w:w="156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jc w:val="left"/>
            </w:pPr>
            <w:r>
              <w:rPr>
                <w:b/>
                <w:bCs/>
                <w:color w:val="FFFFFF"/>
              </w:rPr>
              <w:t xml:space="preserve">Status</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Engagement / terms of business signed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Calderfield / WC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Complete</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Heads of terms agreed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Agents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Complete</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Board approval of the letting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Calderfield board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Complete</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Lease engrossed (two parts)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WC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Complete</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Rent deposit deed engrossed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WC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Complete</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Licence for alterations engrossed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WC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Complete</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Schedule of condition agreed and annexed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WC / Tenant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Complete</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CPSE replies finalised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WC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Complete</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Tenant references / covenant approved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Calderfield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Complete</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Tenant's part of lease executed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Tenant / Pendle Voss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To be received</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Landlord's part of lease executed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Calderfield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Held to order</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Rent deposit + VAT received (cleared funds)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Tenant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Pre-completion</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First quarter's rent (post rent-free) diarised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WC / agent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N/A on grant (rent-free)</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SDLT return (SDLT1) prepared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WC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Drafted</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Land Registry application (FR1/AP1) prepared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WC</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Drafted</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Insurance noting / tenant details to insurer</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Agent</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Pre-completion</w:t>
            </w:r>
          </w:p>
        </w:tc>
      </w:tr>
      <w:tr>
        <w:tc>
          <w:tcPr>
            <w:tcW w:type="dxa" w:w="5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Completion undertakings exchanged</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WC / Pendle Voss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Pre-completion</w:t>
            </w:r>
          </w:p>
        </w:tc>
      </w:tr>
    </w:tbl>
    <w:p>
      <w:pPr>
        <w:spacing w:before="160"/>
      </w:pPr>
      <w:r>
        <w:t xml:space="preserve">Notes: completion to take place by undertaking between solicitors. The rent deposit (plus VAT) must be received in cleared funds in Whitfield Carter’s client account before the Landlord’s part of the lease is dated and released. A 9-month rent-free period applies from the date of grant, so no apportioned principal rent is payable on completion; the insurance rent and service charge on account are payable from the date of grant.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(OC418827).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Vertex — Completion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2026-06-27T22:13:38.911Z</dcterms:created>
  <dcterms:modified xsi:type="dcterms:W3CDTF">2026-06-27T22:13:38.911Z</dcterms:modified>
</cp:coreProperties>
</file>

<file path=docProps/custom.xml><?xml version="1.0" encoding="utf-8"?>
<Properties xmlns="http://schemas.openxmlformats.org/officeDocument/2006/custom-properties" xmlns:vt="http://schemas.openxmlformats.org/officeDocument/2006/docPropsVTypes"/>
</file>