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1F3864"/>
          <w:sz w:val="28"/>
          <w:szCs w:val="28"/>
        </w:rPr>
        <w:t xml:space="preserve">Whitfield Carter LLP</w:t>
      </w:r>
    </w:p>
    <w:p>
      <w:pPr>
        <w:spacing w:after="0"/>
      </w:pPr>
      <w:r>
        <w:rPr>
          <w:color w:val="595959"/>
          <w:sz w:val="18"/>
          <w:szCs w:val="18"/>
        </w:rPr>
        <w:t xml:space="preserve">22 Bishopsgate, London EC2N 4BQ</w:t>
      </w:r>
    </w:p>
    <w:p>
      <w:pPr>
        <w:pBdr>
          <w:bottom w:val="single" w:color="1F3864" w:sz="6" w:space="4"/>
        </w:pBdr>
        <w:spacing w:after="200"/>
      </w:pPr>
      <w:r>
        <w:rPr>
          <w:color w:val="595959"/>
          <w:sz w:val="18"/>
          <w:szCs w:val="18"/>
        </w:rPr>
        <w:t xml:space="preserve">T +44 (0)20 7946 0100   whitfieldcarter.com</w:t>
      </w:r>
    </w:p>
    <w:p>
      <w:pPr>
        <w:spacing w:after="120" w:line="276"/>
        <w:rPr>
          <w:b/>
          <w:bCs/>
        </w:rPr>
      </w:pPr>
      <w:r>
        <w:rPr>
          <w:b/>
          <w:bCs/>
        </w:rPr>
        <w:t xml:space="preserve">Private &amp; Confidential</w:t>
      </w:r>
    </w:p>
    <w:p>
      <w:pPr>
        <w:spacing w:after="120" w:line="276"/>
      </w:pPr>
      <w:r>
        <w:t xml:space="preserve">Tom Beckworth</w:t>
      </w:r>
    </w:p>
    <w:p>
      <w:pPr>
        <w:spacing w:after="120" w:line="276"/>
      </w:pPr>
      <w:r>
        <w:t xml:space="preserve">Calderfield Capital Partners Limited</w:t>
      </w:r>
    </w:p>
    <w:p>
      <w:pPr>
        <w:spacing w:after="120" w:line="276"/>
      </w:pPr>
      <w:r>
        <w:t xml:space="preserve">Calderfield House, 8 Bedford Row, London WC1R 4BU</w:t>
      </w:r>
    </w:p>
    <w:p>
      <w:pPr>
        <w:spacing w:after="160" w:before="120"/>
      </w:pPr>
      <w:r>
        <w:t xml:space="preserve">9 October 2025</w:t>
      </w:r>
    </w:p>
    <w:p>
      <w:pPr>
        <w:spacing w:after="160"/>
      </w:pPr>
      <w:r>
        <w:t xml:space="preserve">Dear Tom</w:t>
      </w:r>
    </w:p>
    <w:p>
      <w:pPr>
        <w:spacing w:after="120" w:line="276"/>
        <w:rPr>
          <w:b/>
          <w:bCs/>
        </w:rPr>
      </w:pPr>
      <w:r>
        <w:rPr>
          <w:b/>
          <w:bCs/>
        </w:rPr>
        <w:t xml:space="preserve">Grant of new lease — Third Floor, Vertex House, 14–18 Calder Street, Leeds LS1 5QT (“Project Vertex”)</w:t>
      </w:r>
    </w:p>
    <w:p>
      <w:pPr>
        <w:spacing w:after="120" w:line="276"/>
      </w:pPr>
      <w:r>
        <w:t xml:space="preserve">Thank you for instructing Whitfield Carter LLP to act for Calderfield Capital Partners Limited in connection with the grant of a new occupational lease of the third floor of Vertex House to Larchmont Advisory Group Limited. This letter, together with our enclosed standard terms of business, sets out the basis on which we will act.</w:t>
      </w:r>
    </w:p>
    <w:p>
      <w:pPr>
        <w:pStyle w:val="Heading2"/>
      </w:pPr>
      <w:r>
        <w:t xml:space="preserve">1. Scope of our engagement</w:t>
      </w:r>
    </w:p>
    <w:p>
      <w:pPr>
        <w:spacing w:after="120" w:line="276"/>
      </w:pPr>
      <w:r>
        <w:t xml:space="preserve">We will advise you, as Landlord, on the negotiation, documentation and completion of a new lease of the Premises substantially on the heads of terms agreed between the parties’ agents. Our work will include:</w:t>
      </w:r>
    </w:p>
    <w:p>
      <w:pPr>
        <w:pStyle w:val="ListParagraph"/>
        <w:numPr>
          <w:ilvl w:val="0"/>
          <w:numId w:val="2"/>
        </w:numPr>
        <w:spacing w:after="80" w:line="276"/>
      </w:pPr>
      <w:r>
        <w:t xml:space="preserve">preparing and negotiating the lease, the agreement for lease (if required), the rent deposit deed and the licence for alterations to enable the Tenant’s fit-out;</w:t>
      </w:r>
    </w:p>
    <w:p>
      <w:pPr>
        <w:pStyle w:val="ListParagraph"/>
        <w:numPr>
          <w:ilvl w:val="0"/>
          <w:numId w:val="2"/>
        </w:numPr>
        <w:spacing w:after="80" w:line="276"/>
      </w:pPr>
      <w:r>
        <w:t xml:space="preserve">reviewing the Tenant’s and Guarantor’s covenant strength enquiries and replying to enquiries raised by the Tenant’s solicitors;</w:t>
      </w:r>
    </w:p>
    <w:p>
      <w:pPr>
        <w:pStyle w:val="ListParagraph"/>
        <w:numPr>
          <w:ilvl w:val="0"/>
          <w:numId w:val="2"/>
        </w:numPr>
        <w:spacing w:after="80" w:line="276"/>
      </w:pPr>
      <w:r>
        <w:t xml:space="preserve">dealing with title, the Landlord’s superior interest and any consents required, and with SDLT and Land Registry requirements arising on grant; and</w:t>
      </w:r>
    </w:p>
    <w:p>
      <w:pPr>
        <w:pStyle w:val="ListParagraph"/>
        <w:numPr>
          <w:ilvl w:val="0"/>
          <w:numId w:val="2"/>
        </w:numPr>
        <w:spacing w:after="80" w:line="276"/>
      </w:pPr>
      <w:r>
        <w:t xml:space="preserve">attending to completion, the rent deposit arrangements and post-completion registration.</w:t>
      </w:r>
    </w:p>
    <w:p>
      <w:pPr>
        <w:spacing w:after="120" w:line="276"/>
      </w:pPr>
      <w:r>
        <w:t xml:space="preserve">Our engagement does not extend to advising on the commercial merits of the letting, the rent or the building’s valuation, on which you are advised by Harwell Mottram, your managing agents, nor on the tax treatment of the transaction beyond SDLT and VAT on the grant.</w:t>
      </w:r>
    </w:p>
    <w:p>
      <w:pPr>
        <w:pStyle w:val="Heading2"/>
      </w:pPr>
      <w:r>
        <w:t xml:space="preserve">2. People responsible for your matter</w:t>
      </w:r>
    </w:p>
    <w:p>
      <w:pPr>
        <w:spacing w:after="120" w:line="276"/>
      </w:pPr>
      <w:r>
        <w:t xml:space="preserve">The matter will be led by Sarah Whitfield (Partner), with day-to-day conduct by Elena Marchetti (Associate) and assistance from Tom Gallagher. Sarah has overall responsibility for the work and for the relationship with Calderfield.</w:t>
      </w:r>
    </w:p>
    <w:p>
      <w:pPr>
        <w:pStyle w:val="Heading2"/>
      </w:pPr>
      <w:r>
        <w:t xml:space="preserve">3. Fees and disbursements</w:t>
      </w:r>
    </w:p>
    <w:p>
      <w:pPr>
        <w:spacing w:after="120" w:line="276"/>
      </w:pPr>
      <w:r>
        <w:t xml:space="preserve">Our fees are charged by reference to the time spent at the hourly rates of the individuals concerned: Sarah Whitfield £650, Elena Marchetti £395 and Tom Gallagher £290, in each case plus VAT. We currently estimate our fees for this matter at between £9,500 and £12,500 plus VAT and disbursements, on the assumption that the transaction proceeds broadly to the agreed heads of terms and without a protracted negotiation. Disbursements will include Land Registry fees, search fees and the SDLT return filing.</w:t>
      </w:r>
    </w:p>
    <w:p>
      <w:pPr>
        <w:spacing w:after="120" w:line="276"/>
      </w:pPr>
      <w:r>
        <w:t xml:space="preserve">We will render interim bills as the matter progresses and a final bill on completion. Our standard terms of business, enclosed, form part of our contract with you and explain our billing, complaints and data-protection arrangements.</w:t>
      </w:r>
    </w:p>
    <w:p>
      <w:pPr>
        <w:pStyle w:val="Heading2"/>
      </w:pPr>
      <w:r>
        <w:t xml:space="preserve">4. Anti-money laundering and conflicts</w:t>
      </w:r>
    </w:p>
    <w:p>
      <w:pPr>
        <w:spacing w:after="120" w:line="276"/>
      </w:pPr>
      <w:r>
        <w:t xml:space="preserve">We have carried out our standard client due diligence on Calderfield and confirm we hold no conflict that prevents us acting. We are required to verify the source of funds for the rent deposit and any other monies passing through our client account.</w:t>
      </w:r>
    </w:p>
    <w:p>
      <w:pPr>
        <w:spacing w:after="200" w:before="120"/>
      </w:pPr>
      <w:r>
        <w:t xml:space="preserve">We are grateful for the instruction and look forward to working with you on this letting. Please countersign and return the enclosed copy of this letter to confirm your acceptance of these terms.</w:t>
      </w:r>
    </w:p>
    <w:p>
      <w:pPr>
        <w:spacing w:after="240"/>
      </w:pPr>
      <w:r>
        <w:t xml:space="preserve">Yours sincerely</w:t>
      </w:r>
    </w:p>
    <w:p>
      <w:pPr>
        <w:spacing w:after="0" w:line="300"/>
      </w:pPr>
      <w:r>
        <w:t xml:space="preserve">Sarah Whitfield</w:t>
      </w:r>
    </w:p>
    <w:p>
      <w:pPr>
        <w:spacing w:after="0" w:line="300"/>
      </w:pPr>
      <w:r>
        <w:t xml:space="preserve">Partner</w:t>
      </w:r>
    </w:p>
    <w:p>
      <w:pPr>
        <w:spacing w:after="0" w:line="300"/>
      </w:pPr>
      <w:r>
        <w:t xml:space="preserve">Whitfield Carter LLP</w:t>
      </w:r>
    </w:p>
    <w:p>
      <w:pPr>
        <w:spacing w:after="0" w:line="300"/>
      </w:pPr>
      <w:r>
        <w:t xml:space="preserve">sarah.whitfield@whitfieldcarter.com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80"/>
    </w:pPr>
    <w:r>
      <w:rPr>
        <w:color w:val="808080"/>
        <w:sz w:val="13"/>
        <w:szCs w:val="13"/>
      </w:rPr>
      <w:t xml:space="preserve">Whitfield Carter LLP is a limited liability partnership registered in England and Wales (OC418827). Confidential and may be legally privileged.</w:t>
    </w:r>
  </w:p>
  <w:p>
    <w:pPr>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120"/>
      <w:jc w:val="center"/>
    </w:pPr>
    <w:rPr>
      <w:rFonts w:ascii="Calibri" w:cs="Calibri" w:eastAsia="Calibri" w:hAnsi="Calibri"/>
      <w:b/>
      <w:bCs/>
      <w:sz w:val="30"/>
      <w:szCs w:val="30"/>
    </w:rPr>
  </w:style>
  <w:style w:type="paragraph" w:styleId="Heading1">
    <w:name w:val="Heading 1"/>
    <w:basedOn w:val="Normal"/>
    <w:next w:val="Normal"/>
    <w:qFormat/>
    <w:pPr>
      <w:spacing w:after="140" w:before="260"/>
      <w:outlineLvl w:val="0"/>
    </w:pPr>
    <w:rPr>
      <w:rFonts w:ascii="Calibri" w:cs="Calibri" w:eastAsia="Calibri" w:hAnsi="Calibri"/>
      <w:b/>
      <w:bCs/>
      <w:sz w:val="24"/>
      <w:szCs w:val="24"/>
    </w:rPr>
  </w:style>
  <w:style w:type="paragraph" w:styleId="Heading2">
    <w:name w:val="Heading 2"/>
    <w:basedOn w:val="Normal"/>
    <w:next w:val="Normal"/>
    <w:qFormat/>
    <w:pPr>
      <w:spacing w:after="100" w:before="18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2026-06-27T22:13:38.741Z</dcterms:created>
  <dcterms:modified xsi:type="dcterms:W3CDTF">2026-06-27T22:13:38.741Z</dcterms:modified>
</cp:coreProperties>
</file>

<file path=docProps/custom.xml><?xml version="1.0" encoding="utf-8"?>
<Properties xmlns="http://schemas.openxmlformats.org/officeDocument/2006/custom-properties" xmlns:vt="http://schemas.openxmlformats.org/officeDocument/2006/docPropsVTypes"/>
</file>