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1F3864"/>
          <w:sz w:val="28"/>
          <w:szCs w:val="28"/>
        </w:rPr>
        <w:t xml:space="preserve">Whitfield Carter LLP</w:t>
      </w:r>
    </w:p>
    <w:p>
      <w:pPr>
        <w:spacing w:after="0"/>
      </w:pPr>
      <w:r>
        <w:rPr>
          <w:color w:val="595959"/>
          <w:sz w:val="18"/>
          <w:szCs w:val="18"/>
        </w:rPr>
        <w:t xml:space="preserve">22 Bishopsgate, London EC2N 4BQ</w:t>
      </w:r>
    </w:p>
    <w:p>
      <w:pPr>
        <w:pBdr>
          <w:bottom w:val="single" w:color="1F3864" w:sz="6" w:space="4"/>
        </w:pBdr>
        <w:spacing w:after="200"/>
      </w:pPr>
      <w:r>
        <w:rPr>
          <w:color w:val="595959"/>
          <w:sz w:val="18"/>
          <w:szCs w:val="18"/>
        </w:rPr>
        <w:t xml:space="preserve">T +44 (0)20 7946 0100   whitfieldcarter.com</w:t>
      </w:r>
    </w:p>
    <w:p>
      <w:pPr>
        <w:pStyle w:val="Title"/>
      </w:pPr>
      <w:r>
        <w:t xml:space="preserve">HEADS OF TERMS</w:t>
      </w:r>
    </w:p>
    <w:p>
      <w:pPr>
        <w:spacing w:after="120" w:line="276"/>
        <w:jc w:val="center"/>
        <w:rPr>
          <w:b/>
          <w:bCs/>
        </w:rPr>
      </w:pPr>
      <w:r>
        <w:rPr>
          <w:b/>
          <w:bCs/>
        </w:rPr>
        <w:t xml:space="preserve">Proposed grant of a new lease — Third Floor, Vertex House, 14–18 Calder Street, Leeds LS1 5QT</w:t>
      </w:r>
    </w:p>
    <w:p>
      <w:pPr>
        <w:spacing w:after="120" w:line="276"/>
        <w:jc w:val="center"/>
        <w:rPr>
          <w:i/>
          <w:iCs/>
          <w:color w:val="7F7F7F"/>
        </w:rPr>
      </w:pPr>
      <w:r>
        <w:rPr>
          <w:i/>
          <w:iCs/>
          <w:color w:val="7F7F7F"/>
        </w:rPr>
        <w:t xml:space="preserve">Subject to Contract and Lease  |  Subject to Board approval</w:t>
      </w:r>
    </w:p>
    <w:p>
      <w:pPr>
        <w:spacing w:after="200"/>
        <w:jc w:val="center"/>
        <w:rPr>
          <w:color w:val="7F7F7F"/>
          <w:sz w:val="18"/>
          <w:szCs w:val="18"/>
        </w:rPr>
      </w:pPr>
      <w:r>
        <w:rPr>
          <w:color w:val="7F7F7F"/>
          <w:sz w:val="18"/>
          <w:szCs w:val="18"/>
        </w:rPr>
        <w:t xml:space="preserve">Prepared: 14 October 2025   |   Agreed in principle: 22 October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Landlord</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Calderfield Capital Partners Limited (company no. 07731420)</w:t>
            </w:r>
          </w:p>
        </w:tc>
      </w:tr>
      <w:tr>
        <w:tc>
          <w:tcPr>
            <w:tcW w:type="dxa" w:w="26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Tenant</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Larchmont Advisory Group Limited (company no. 12488603)</w:t>
            </w:r>
          </w:p>
        </w:tc>
      </w:tr>
      <w:tr>
        <w:tc>
          <w:tcPr>
            <w:tcW w:type="dxa" w:w="26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Guarantor</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Larchmont Holdings Limited (company no. 12488590)</w:t>
            </w:r>
          </w:p>
        </w:tc>
      </w:tr>
      <w:tr>
        <w:tc>
          <w:tcPr>
            <w:tcW w:type="dxa" w:w="26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Premises</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whole of the third floor of Vertex House, 14–18 Calder Street, Leeds LS1 5QT, having a net internal area of approximately 8,420 sq ft</w:t>
            </w:r>
          </w:p>
        </w:tc>
      </w:tr>
      <w:tr>
        <w:tc>
          <w:tcPr>
            <w:tcW w:type="dxa" w:w="26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Building / title</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Vertex House; Landlord’s freehold title number WYK582140</w:t>
            </w:r>
          </w:p>
        </w:tc>
      </w:tr>
      <w:tr>
        <w:tc>
          <w:tcPr>
            <w:tcW w:type="dxa" w:w="26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Term</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15 years from and including the date of grant, outside the security of tenure provisions (ss.24–28) of the Landlord and Tenant Act 1954</w:t>
            </w:r>
          </w:p>
        </w:tc>
      </w:tr>
      <w:tr>
        <w:tc>
          <w:tcPr>
            <w:tcW w:type="dxa" w:w="26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Tenant break</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Single tenant option to determine at the end of the 10th year on not less than 9 months’ prior written notice, conditional only on payment of the principal rent and giving up vacant possession; a penalty of 6 months’ principal rent payable on the break date</w:t>
            </w:r>
          </w:p>
        </w:tc>
      </w:tr>
      <w:tr>
        <w:tc>
          <w:tcPr>
            <w:tcW w:type="dxa" w:w="26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Principal rent</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£248,390 per annum (£29.50 per sq ft), exclusive of VAT, rates and service charge, payable quarterly in advance on the usual quarter days</w:t>
            </w:r>
          </w:p>
        </w:tc>
      </w:tr>
      <w:tr>
        <w:tc>
          <w:tcPr>
            <w:tcW w:type="dxa" w:w="26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Rent-free period</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9 months from the date of grant in respect of the principal rent (to cover the Tenant’s fit-out)</w:t>
            </w:r>
          </w:p>
        </w:tc>
      </w:tr>
      <w:tr>
        <w:tc>
          <w:tcPr>
            <w:tcW w:type="dxa" w:w="26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Rent review</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Upward-only open market rent review on each 5th anniversary of the term commencement date</w:t>
            </w:r>
          </w:p>
        </w:tc>
      </w:tr>
      <w:tr>
        <w:tc>
          <w:tcPr>
            <w:tcW w:type="dxa" w:w="26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VAT</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Building is elected for VAT; the principal rent and other sums are exclusive of VAT</w:t>
            </w:r>
          </w:p>
        </w:tc>
      </w:tr>
      <w:tr>
        <w:tc>
          <w:tcPr>
            <w:tcW w:type="dxa" w:w="26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Service charge</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Fair and proper proportion of the costs of the Building, subject to a service charge cap of £6.50 per sq ft in the first service charge year (£54,730 per annum), index-linked thereafter</w:t>
            </w:r>
          </w:p>
        </w:tc>
      </w:tr>
      <w:tr>
        <w:tc>
          <w:tcPr>
            <w:tcW w:type="dxa" w:w="26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Rent deposit</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A deposit equal to 6 months’ principal rent (£124,195 plus VAT of £24,839) to be held under a rent deposit deed and released as to one-half after 3 years’ satisfactory payment history</w:t>
            </w:r>
          </w:p>
        </w:tc>
      </w:tr>
      <w:tr>
        <w:tc>
          <w:tcPr>
            <w:tcW w:type="dxa" w:w="26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Repair</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Internal repairing and decorating obligations only; the Premises to be kept in no better condition than recorded in a photographic schedule of condition to be annexed</w:t>
            </w:r>
          </w:p>
        </w:tc>
      </w:tr>
      <w:tr>
        <w:tc>
          <w:tcPr>
            <w:tcW w:type="dxa" w:w="26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Alterations</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Internal non-structural alterations permitted with the Landlord’s consent (not to be unreasonably withheld); structural and external alterations prohibited</w:t>
            </w:r>
          </w:p>
        </w:tc>
      </w:tr>
      <w:tr>
        <w:tc>
          <w:tcPr>
            <w:tcW w:type="dxa" w:w="26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Permitted use</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offices within Class E(c)(i) of the Schedule to the Town and Country Planning (Use Classes) Order 1987 (as amended)</w:t>
            </w:r>
          </w:p>
        </w:tc>
      </w:tr>
      <w:tr>
        <w:tc>
          <w:tcPr>
            <w:tcW w:type="dxa" w:w="26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Alienation</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Assignment and underletting of the whole permitted with consent; underletting of part prohibited; assignment of part prohibited; an authorised guarantee agreement to be given by an outgoing tenant</w:t>
            </w:r>
          </w:p>
        </w:tc>
      </w:tr>
      <w:tr>
        <w:tc>
          <w:tcPr>
            <w:tcW w:type="dxa" w:w="26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Landlord’s contribution</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£210,500 (£25 per sq ft) towards the Tenant’s fit-out, payable against architect’s certificates following practical completion of the Tenant’s works</w:t>
            </w:r>
          </w:p>
        </w:tc>
      </w:tr>
      <w:tr>
        <w:tc>
          <w:tcPr>
            <w:tcW w:type="dxa" w:w="26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Costs</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Each party to bear its own legal costs</w:t>
            </w:r>
          </w:p>
        </w:tc>
      </w:tr>
      <w:tr>
        <w:tc>
          <w:tcPr>
            <w:tcW w:type="dxa" w:w="26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Conditions</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Grant conditional on the Landlord’s board approval, satisfactory references and completion of the rent deposit deed and licence for alterations</w:t>
            </w:r>
          </w:p>
        </w:tc>
      </w:tr>
      <w:tr>
        <w:tc>
          <w:tcPr>
            <w:tcW w:type="dxa" w:w="26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Target completion</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19 January 2026</w:t>
            </w:r>
          </w:p>
        </w:tc>
      </w:tr>
      <w:tr>
        <w:tc>
          <w:tcPr>
            <w:tcW w:type="dxa" w:w="26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Landlord’s solicitors</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Whitfield Carter LLP (Sarah Whitfield / Elena Marchetti)</w:t>
            </w:r>
          </w:p>
        </w:tc>
      </w:tr>
      <w:tr>
        <w:tc>
          <w:tcPr>
            <w:tcW w:type="dxa" w:w="26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Tenant’s solicitors</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Pendle Voss LLP (Dominic Pendle)</w:t>
            </w:r>
          </w:p>
        </w:tc>
      </w:tr>
    </w:tbl>
    <w:p>
      <w:pPr>
        <w:spacing w:before="200"/>
        <w:rPr>
          <w:i/>
          <w:iCs/>
          <w:color w:val="7F7F7F"/>
          <w:sz w:val="18"/>
          <w:szCs w:val="18"/>
        </w:rPr>
      </w:pPr>
      <w:r>
        <w:rPr>
          <w:i/>
          <w:iCs/>
          <w:color w:val="7F7F7F"/>
          <w:sz w:val="18"/>
          <w:szCs w:val="18"/>
        </w:rPr>
        <w:t xml:space="preserve">These heads of terms are subject to contract and lease and to the Landlord’s board approval. They are not intended to create legal relations and do not give rise to any binding obligation on either party until completion of a formal lease.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before="80"/>
    </w:pPr>
    <w:r>
      <w:rPr>
        <w:color w:val="808080"/>
        <w:sz w:val="13"/>
        <w:szCs w:val="13"/>
      </w:rPr>
      <w:t xml:space="preserve">Whitfield Carter LLP is a limited liability partnership registered in England and Wales (OC418827). Confidential and may be legally privileged.</w:t>
    </w:r>
  </w:p>
  <w:p>
    <w:pPr>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Project Vertex — Heads of Terms (Subject to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120"/>
      <w:jc w:val="center"/>
    </w:pPr>
    <w:rPr>
      <w:rFonts w:ascii="Calibri" w:cs="Calibri" w:eastAsia="Calibri" w:hAnsi="Calibri"/>
      <w:b/>
      <w:bCs/>
      <w:sz w:val="30"/>
      <w:szCs w:val="30"/>
    </w:rPr>
  </w:style>
  <w:style w:type="paragraph" w:styleId="Heading1">
    <w:name w:val="Heading 1"/>
    <w:basedOn w:val="Normal"/>
    <w:next w:val="Normal"/>
    <w:qFormat/>
    <w:pPr>
      <w:spacing w:after="140" w:before="260"/>
      <w:outlineLvl w:val="0"/>
    </w:pPr>
    <w:rPr>
      <w:rFonts w:ascii="Calibri" w:cs="Calibri" w:eastAsia="Calibri" w:hAnsi="Calibri"/>
      <w:b/>
      <w:bCs/>
      <w:sz w:val="24"/>
      <w:szCs w:val="24"/>
    </w:rPr>
  </w:style>
  <w:style w:type="paragraph" w:styleId="Heading2">
    <w:name w:val="Heading 2"/>
    <w:basedOn w:val="Normal"/>
    <w:next w:val="Normal"/>
    <w:qFormat/>
    <w:pPr>
      <w:spacing w:after="100" w:before="18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2026-06-27T22:13:38.827Z</dcterms:created>
  <dcterms:modified xsi:type="dcterms:W3CDTF">2026-06-27T22:13:38.827Z</dcterms:modified>
</cp:coreProperties>
</file>

<file path=docProps/custom.xml><?xml version="1.0" encoding="utf-8"?>
<Properties xmlns="http://schemas.openxmlformats.org/officeDocument/2006/custom-properties" xmlns:vt="http://schemas.openxmlformats.org/officeDocument/2006/docPropsVTypes"/>
</file>