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pStyle w:val="Title"/>
      </w:pPr>
      <w:r>
        <w:t xml:space="preserve">REPORT ON TITLE TO THE LANDLORD</w:t>
      </w:r>
    </w:p>
    <w:p>
      <w:pPr>
        <w:spacing w:after="120" w:line="276"/>
        <w:jc w:val="center"/>
        <w:rPr>
          <w:b/>
          <w:bCs/>
        </w:rPr>
      </w:pPr>
      <w:r>
        <w:rPr>
          <w:b/>
          <w:bCs/>
        </w:rPr>
        <w:t xml:space="preserve">Project Vertex — proposed grant of a new lease of the Third Floor, Vertex House, Leeds</w:t>
      </w:r>
    </w:p>
    <w:p>
      <w:pPr>
        <w:spacing w:after="120" w:line="276"/>
        <w:jc w:val="center"/>
        <w:rPr>
          <w:color w:val="7F7F7F"/>
          <w:sz w:val="18"/>
          <w:szCs w:val="18"/>
        </w:rPr>
      </w:pPr>
      <w:r>
        <w:rPr>
          <w:color w:val="7F7F7F"/>
          <w:sz w:val="18"/>
          <w:szCs w:val="18"/>
        </w:rPr>
        <w:t xml:space="preserve">Prepared for: Calderfield Capital Partners Limited (the Landlord)  |  Prepared by: Whitfield Carter LLP</w:t>
      </w:r>
    </w:p>
    <w:p>
      <w:pPr>
        <w:spacing w:after="200"/>
        <w:jc w:val="center"/>
        <w:rPr>
          <w:i/>
          <w:iCs/>
          <w:color w:val="C0392B"/>
          <w:sz w:val="18"/>
          <w:szCs w:val="18"/>
        </w:rPr>
      </w:pPr>
      <w:r>
        <w:rPr>
          <w:i/>
          <w:iCs/>
          <w:color w:val="C0392B"/>
          <w:sz w:val="18"/>
          <w:szCs w:val="18"/>
        </w:rPr>
        <w:t xml:space="preserve">DRAFT for client review — 8 December 2025</w:t>
      </w:r>
    </w:p>
    <w:p>
      <w:pPr>
        <w:pStyle w:val="Heading1"/>
      </w:pPr>
      <w:r>
        <w:t xml:space="preserve">1. Introduction and scope</w:t>
      </w:r>
    </w:p>
    <w:p>
      <w:pPr>
        <w:spacing w:after="120" w:line="276"/>
      </w:pPr>
      <w:r>
        <w:t xml:space="preserve">This report summarises the title to Vertex House and the matters relevant to the Landlord’s ability to grant the proposed new lease of the third floor to Larchmont Advisory Group Limited. It is addressed to Calderfield Capital Partners Limited and may not be relied on by any other party. Because Calderfield already owns the Building and is granting (rather than taking) the lease, this report focuses on (a) confirming the Landlord’s unencumbered ability to let, (b) any superior interests or charges requiring attention, and (c) the conditions to be satisfied before grant.</w:t>
      </w:r>
    </w:p>
    <w:p>
      <w:pPr>
        <w:pStyle w:val="Heading1"/>
      </w:pPr>
      <w:r>
        <w:t xml:space="preserve">2. The Property</w:t>
      </w:r>
    </w:p>
    <w:p>
      <w:pPr>
        <w:pStyle w:val="ListParagraph"/>
        <w:numPr>
          <w:ilvl w:val="0"/>
          <w:numId w:val="2"/>
        </w:numPr>
        <w:spacing w:after="80" w:line="276"/>
      </w:pPr>
      <w:r>
        <w:t xml:space="preserve">Building: Vertex House, 14–18 Calder Street, Leeds LS1 5QT.</w:t>
      </w:r>
    </w:p>
    <w:p>
      <w:pPr>
        <w:pStyle w:val="ListParagraph"/>
        <w:numPr>
          <w:ilvl w:val="0"/>
          <w:numId w:val="2"/>
        </w:numPr>
        <w:spacing w:after="80" w:line="276"/>
      </w:pPr>
      <w:r>
        <w:t xml:space="preserve">Premises to be let: the whole of the third floor of Vertex House, 14–18 Calder Street, Leeds LS1 5QT, net internal area approximately 8,420 sq ft.</w:t>
      </w:r>
    </w:p>
    <w:p>
      <w:pPr>
        <w:pStyle w:val="ListParagraph"/>
        <w:numPr>
          <w:ilvl w:val="0"/>
          <w:numId w:val="2"/>
        </w:numPr>
        <w:spacing w:after="80" w:line="276"/>
      </w:pPr>
      <w:r>
        <w:t xml:space="preserve">Tenure: freehold, registered at HM Land Registry under title number WYK582140, registered proprietor Calderfield Capital Partners Limited.</w:t>
      </w:r>
    </w:p>
    <w:p>
      <w:pPr>
        <w:pStyle w:val="ListParagraph"/>
        <w:numPr>
          <w:ilvl w:val="0"/>
          <w:numId w:val="2"/>
        </w:numPr>
        <w:spacing w:after="80" w:line="276"/>
      </w:pPr>
      <w:r>
        <w:t xml:space="preserve">Title class: absolute freehold. No cautions, restrictions (other than as noted at section 4) or notices adverse to the grant are registered.</w:t>
      </w:r>
    </w:p>
    <w:p>
      <w:pPr>
        <w:pStyle w:val="Heading1"/>
      </w:pPr>
      <w:r>
        <w:t xml:space="preserve">3. Office copies and plan</w:t>
      </w:r>
    </w:p>
    <w:p>
      <w:pPr>
        <w:spacing w:after="120" w:line="276"/>
      </w:pPr>
      <w:r>
        <w:t xml:space="preserve">We have reviewed official copies of the register and title plan obtained on 3 November 2025. The title plan shows the whole of Vertex House edged red. The Premises (third floor) are an internal part of the Building and will be defined by reference to a lease plan to be annexed to the lease; no separate title plan is required for an occupational letting.</w:t>
      </w:r>
    </w:p>
    <w:p>
      <w:pPr>
        <w:pStyle w:val="Heading1"/>
      </w:pPr>
      <w:r>
        <w:t xml:space="preserve">4. Charges and superior interests</w:t>
      </w:r>
    </w:p>
    <w:p>
      <w:pPr>
        <w:spacing w:after="120" w:line="276"/>
      </w:pPr>
      <w:r>
        <w:t xml:space="preserve">The charges register records a single registered charge dated 14 June 2022 in favour of Clydesford Bank plc securing the Landlord’s facility over its investment portfolio. The facility agreement permits the grant of occupational leases at arm’s length on standard institutional terms without specific lender consent, provided the lease is not at a premium and reserves an open market rent. The proposed lease falls within that permission. We recommend that the managing agents notify Clydesford Bank of the completed letting as a matter of good practice, but no formal consent is required.</w:t>
      </w:r>
    </w:p>
    <w:p>
      <w:pPr>
        <w:spacing w:after="120" w:line="276"/>
      </w:pPr>
      <w:r>
        <w:t xml:space="preserve">There is a restriction in the proprietorship register in standard form requiring that no disposition by a sole proprietor of the registered estate (not being a trust corporation) under which capital money arises is to be registered unless authorised by an order of the court — this is not engaged by the grant of an occupational lease.</w:t>
      </w:r>
    </w:p>
    <w:p>
      <w:pPr>
        <w:pStyle w:val="Heading1"/>
      </w:pPr>
      <w:r>
        <w:t xml:space="preserve">5. Matters affecting the title</w:t>
      </w:r>
    </w:p>
    <w:p>
      <w:pPr>
        <w:pStyle w:val="ListParagraph"/>
        <w:numPr>
          <w:ilvl w:val="0"/>
          <w:numId w:val="2"/>
        </w:numPr>
        <w:spacing w:after="80" w:line="276"/>
      </w:pPr>
      <w:r>
        <w:t xml:space="preserve">The property is subject to the rights, covenants and matters contained in a transfer dated 2 February 2005 referred to in the register, including rights of support and shelter and obligations to contribute to the maintenance of shared estate roads; none of these prevents or restricts the grant of the lease.</w:t>
      </w:r>
    </w:p>
    <w:p>
      <w:pPr>
        <w:pStyle w:val="ListParagraph"/>
        <w:numPr>
          <w:ilvl w:val="0"/>
          <w:numId w:val="2"/>
        </w:numPr>
        <w:spacing w:after="80" w:line="276"/>
      </w:pPr>
      <w:r>
        <w:t xml:space="preserve">There are no overriding interests of which we are aware that would affect the Tenant’s occupation. The Premises are vacant.</w:t>
      </w:r>
    </w:p>
    <w:p>
      <w:pPr>
        <w:pStyle w:val="ListParagraph"/>
        <w:numPr>
          <w:ilvl w:val="0"/>
          <w:numId w:val="2"/>
        </w:numPr>
        <w:spacing w:after="80" w:line="276"/>
      </w:pPr>
      <w:r>
        <w:t xml:space="preserve">The Building benefits from the rights necessary for its use and enjoyment, including rights of way and the passage of services.</w:t>
      </w:r>
    </w:p>
    <w:p>
      <w:pPr>
        <w:pStyle w:val="Heading1"/>
      </w:pPr>
      <w:r>
        <w:t xml:space="preserve">6. Searches</w:t>
      </w:r>
    </w:p>
    <w:p>
      <w:pPr>
        <w:spacing w:after="120" w:line="276"/>
      </w:pPr>
      <w:r>
        <w:t xml:space="preserve">Although Calderfield owns the Building, we obtained an updated local authority search (CON29) and a drainage and water search in October 2025 in connection with this letting and a related refinancing review. The searches reveal nothing that would prevent the grant or the Tenant’s permitted use; the Building has the benefit of planning permission for Class E use and is not subject to any enforcement notice. No adverse entries were revealed by a bankruptcy/insolvency search against Calderfield.</w:t>
      </w:r>
    </w:p>
    <w:p>
      <w:pPr>
        <w:pStyle w:val="Heading1"/>
      </w:pPr>
      <w:r>
        <w:t xml:space="preserve">7. Lease terms — points for the Landlord’s attention</w:t>
      </w:r>
    </w:p>
    <w:p>
      <w:pPr>
        <w:pStyle w:val="ListParagraph"/>
        <w:numPr>
          <w:ilvl w:val="0"/>
          <w:numId w:val="2"/>
        </w:numPr>
        <w:spacing w:after="80" w:line="276"/>
      </w:pPr>
      <w:r>
        <w:t xml:space="preserve">Term of 15 years, contracted out of the security of tenure provisions of the 1954 Act; the contracting-out notice and tenant declaration must be completed before the lease is entered into.</w:t>
      </w:r>
    </w:p>
    <w:p>
      <w:pPr>
        <w:pStyle w:val="ListParagraph"/>
        <w:numPr>
          <w:ilvl w:val="0"/>
          <w:numId w:val="2"/>
        </w:numPr>
        <w:spacing w:after="80" w:line="276"/>
      </w:pPr>
      <w:r>
        <w:t xml:space="preserve">Principal rent of £248,390 per annum (£29.50 per sq ft), with a rent-free period agreed at 10 months and five-yearly upward-only open market reviews.</w:t>
      </w:r>
    </w:p>
    <w:p>
      <w:pPr>
        <w:pStyle w:val="ListParagraph"/>
        <w:numPr>
          <w:ilvl w:val="0"/>
          <w:numId w:val="2"/>
        </w:numPr>
        <w:spacing w:after="80" w:line="276"/>
      </w:pPr>
      <w:r>
        <w:t xml:space="preserve">Tenant break at the end of year 10 on 9 months’ notice, with a break penalty of three months’ principal rent (reduced from six during negotiation).</w:t>
      </w:r>
    </w:p>
    <w:p>
      <w:pPr>
        <w:pStyle w:val="ListParagraph"/>
        <w:numPr>
          <w:ilvl w:val="0"/>
          <w:numId w:val="2"/>
        </w:numPr>
        <w:spacing w:after="80" w:line="276"/>
      </w:pPr>
      <w:r>
        <w:t xml:space="preserve">Rent deposit of £124,195 plus VAT (£149,034 in total) under a separate rent deposit deed, with one-half releasable after three years’ satisfactory payment history.</w:t>
      </w:r>
    </w:p>
    <w:p>
      <w:pPr>
        <w:pStyle w:val="ListParagraph"/>
        <w:numPr>
          <w:ilvl w:val="0"/>
          <w:numId w:val="2"/>
        </w:numPr>
        <w:spacing w:after="80" w:line="276"/>
      </w:pPr>
      <w:r>
        <w:t xml:space="preserve">Landlord’s fit-out contribution of £210,500 (£25 per sq ft) payable against architect’s certificates under a licence for alterations.</w:t>
      </w:r>
    </w:p>
    <w:p>
      <w:pPr>
        <w:pStyle w:val="ListParagraph"/>
        <w:numPr>
          <w:ilvl w:val="0"/>
          <w:numId w:val="2"/>
        </w:numPr>
        <w:spacing w:after="80" w:line="276"/>
      </w:pPr>
      <w:r>
        <w:t xml:space="preserve">A guarantee from Larchmont Holdings Limited supporting the Tenant’s covenant, given the Tenant’s limited trading history.</w:t>
      </w:r>
    </w:p>
    <w:p>
      <w:pPr>
        <w:pStyle w:val="Heading1"/>
      </w:pPr>
      <w:r>
        <w:t xml:space="preserve">8. Conditions to completion</w:t>
      </w:r>
    </w:p>
    <w:p>
      <w:pPr>
        <w:pStyle w:val="ListParagraph"/>
        <w:numPr>
          <w:ilvl w:val="0"/>
          <w:numId w:val="2"/>
        </w:numPr>
        <w:spacing w:after="80" w:line="276"/>
      </w:pPr>
      <w:r>
        <w:t xml:space="preserve">Board approval of the letting by the Calderfield board (obtained — see board minutes of 5 December 2025).</w:t>
      </w:r>
    </w:p>
    <w:p>
      <w:pPr>
        <w:pStyle w:val="ListParagraph"/>
        <w:numPr>
          <w:ilvl w:val="0"/>
          <w:numId w:val="2"/>
        </w:numPr>
        <w:spacing w:after="80" w:line="276"/>
      </w:pPr>
      <w:r>
        <w:t xml:space="preserve">Satisfactory references and covenant check on the Tenant and Guarantor (completed).</w:t>
      </w:r>
    </w:p>
    <w:p>
      <w:pPr>
        <w:pStyle w:val="ListParagraph"/>
        <w:numPr>
          <w:ilvl w:val="0"/>
          <w:numId w:val="2"/>
        </w:numPr>
        <w:spacing w:after="80" w:line="276"/>
      </w:pPr>
      <w:r>
        <w:t xml:space="preserve">Completion of the contracting-out procedure under the 1954 Act before the lease is entered into.</w:t>
      </w:r>
    </w:p>
    <w:p>
      <w:pPr>
        <w:pStyle w:val="ListParagraph"/>
        <w:numPr>
          <w:ilvl w:val="0"/>
          <w:numId w:val="2"/>
        </w:numPr>
        <w:spacing w:after="80" w:line="276"/>
      </w:pPr>
      <w:r>
        <w:t xml:space="preserve">Receipt of the rent deposit plus VAT in cleared funds before the Landlord’s part of the lease is released.</w:t>
      </w:r>
    </w:p>
    <w:p>
      <w:pPr>
        <w:pStyle w:val="Heading1"/>
      </w:pPr>
      <w:r>
        <w:t xml:space="preserve">9. Recommendation</w:t>
      </w:r>
    </w:p>
    <w:p>
      <w:pPr>
        <w:spacing w:after="120" w:line="276"/>
      </w:pPr>
      <w:r>
        <w:t xml:space="preserve">Subject to the conditions in section 8 being satisfied, we are satisfied that Calderfield has good and marketable freehold title to Vertex House and is able to grant the proposed lease of the third floor to Larchmont Advisory Group Limited free from any impediment. We recommend that the Landlord proceed to completion on the agreed terms with a target completion date of 19 January 2026.</w:t>
      </w:r>
    </w:p>
    <w:p>
      <w:pPr>
        <w:spacing w:before="160"/>
        <w:rPr>
          <w:color w:val="595959"/>
          <w:sz w:val="18"/>
          <w:szCs w:val="18"/>
        </w:rPr>
      </w:pPr>
      <w:r>
        <w:rPr>
          <w:color w:val="595959"/>
          <w:sz w:val="18"/>
          <w:szCs w:val="18"/>
        </w:rPr>
        <w:t xml:space="preserve">Whitfield Carter LLP — 8 December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Vertex — Report on Title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2026-06-30T11:18:17.270Z</dcterms:created>
  <dcterms:modified xsi:type="dcterms:W3CDTF">2026-06-30T11:18:17.270Z</dcterms:modified>
</cp:coreProperties>
</file>

<file path=docProps/custom.xml><?xml version="1.0" encoding="utf-8"?>
<Properties xmlns="http://schemas.openxmlformats.org/officeDocument/2006/custom-properties" xmlns:vt="http://schemas.openxmlformats.org/officeDocument/2006/docPropsVTypes"/>
</file>