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COMPLETION CHECKLIST</w:t>
      </w:r>
    </w:p>
    <w:p>
      <w:pPr>
        <w:spacing w:after="120"/>
      </w:pPr>
      <w:r>
        <w:rPr>
          <w:b/>
          <w:bCs/>
        </w:rPr>
        <w:t xml:space="preserve">Project Falcon – acquisition of Wren &amp; Hartley Limited</w:t>
      </w:r>
    </w:p>
    <w:p>
      <w:pPr>
        <w:spacing w:after="120"/>
      </w:pPr>
      <w:r>
        <w:t xml:space="preserve">Completion: 27 February 2026, at the offices of Whitfield Carter LLP</w:t>
      </w:r>
    </w:p>
    <w:p>
      <w:pPr>
        <w:spacing w:after="120"/>
      </w:pPr>
      <w:r>
        <w:t xml:space="preserve">This checklist lists the documents to be executed and the steps to be taken at completion. Items marked “CP” are conditions precedent to be satisfied before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2200"/>
        <w:gridCol w:w="1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/ Step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purchase agreement (executed by all parties)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Castle &amp; Vane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Disclosure letter and disclosure bundle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Castle &amp; Vane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 covenant (Schedule 6 to the SPA)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(CP)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Landlord’s licence to assign – Brookfield Mill lease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Castle &amp; Vane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Received 24/02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(CP)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Pawsome Retail Group change-of-control consent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Received 21/02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transfer forms for all shares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Castle &amp; Vane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minutes of the Company approving transfers and resignations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minutes of Falcon Bidco Limited approving the acquisition and funding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Resignation letters of resigning directors and secretary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Castle &amp; Vane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agreement – retained managing director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Consultancy agreements – Eleanor Wren and James Hartley (6 months)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Escrow agreement (£2,000,000 retention, 18-month period)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Sterling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Funds flow statement and completion payment instructions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 of debenture in favour of the Company’s bank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Castle &amp; Vane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26/02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Statutory books, certificate of incorporation and company seal (if any)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hand over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announcement (agreed form, embargoed)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Calderstone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Post-completion: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stock transfer forms and pay stamp duty (0.5% of consideration) within 30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form for change of directors at Companies House.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the new charge in favour of the acquisition financier.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PSC register.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4"/>
        <w:szCs w:val="14"/>
      </w:rPr>
      <w:t xml:space="preserve">Whitfield Carter LLP  |  Strictly private and confidential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sz w:val="22"/>
        <w:szCs w:val="22"/>
      </w:rPr>
      <w:t xml:space="preserve">Whitfield Carter LLP</w:t>
    </w:r>
  </w:p>
  <w:p>
    <w:pPr>
      <w:spacing w:after="60"/>
      <w:jc w:val="right"/>
    </w:pPr>
    <w:r>
      <w:rPr>
        <w:color w:val="555555"/>
        <w:sz w:val="16"/>
        <w:szCs w:val="16"/>
      </w:rPr>
      <w:t xml:space="preserve">22 Bishopsgate, London EC2N 4BQ</w:t>
    </w:r>
  </w:p>
  <w:p>
    <w:pPr>
      <w:pBdr>
        <w:bottom w:val="single" w:color="1F3864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48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2026-06-29T15:40:20.602Z</dcterms:created>
  <dcterms:modified xsi:type="dcterms:W3CDTF">2026-06-29T15:40:20.602Z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