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rPr>
        <w:t xml:space="preserve">From: the Sellers (Eleanor Wren, James Hartley and the trustees of the Wren Family Trust)</w:t>
      </w:r>
    </w:p>
    <w:p>
      <w:pPr>
        <w:spacing w:after="120"/>
      </w:pPr>
      <w:r>
        <w:rPr>
          <w:b/>
          <w:bCs/>
        </w:rPr>
        <w:t xml:space="preserve">To: Falcon Bidco Limited</w:t>
      </w:r>
    </w:p>
    <w:p>
      <w:pPr>
        <w:spacing w:after="120"/>
      </w:pPr>
      <w:r>
        <w:t xml:space="preserve">Dated 27 February 2026</w:t>
      </w:r>
    </w:p>
    <w:p>
      <w:pPr>
        <w:pStyle w:val="Heading1"/>
      </w:pPr>
      <w:r>
        <w:t xml:space="preserve">DISCLOSURE LETTER</w:t>
      </w:r>
    </w:p>
    <w:p>
      <w:pPr>
        <w:spacing w:after="120"/>
      </w:pPr>
      <w:r>
        <w:rPr>
          <w:b/>
          <w:bCs/>
        </w:rPr>
        <w:t xml:space="preserve">Project Falcon – Share Purchase Agreement relating to Wren &amp; Hartley Limited</w:t>
      </w:r>
    </w:p>
    <w:p>
      <w:pPr>
        <w:spacing w:after="120"/>
      </w:pPr>
      <w:r>
        <w:t xml:space="preserve">Dear Sirs</w:t>
      </w:r>
    </w:p>
    <w:p>
      <w:pPr>
        <w:spacing w:after="120"/>
      </w:pPr>
      <w:r>
        <w:t xml:space="preserve">This is the Disclosure Letter referred to in the share purchase agreement of even date relating to the entire issued share capital of Wren &amp; Hartley Limited (the “Agreement”) entered into between the Sellers (1) and Falcon Bidco Limited (the “Buyer”) (2). Words and expressions defined in the Agreement have the same meaning in this letter.</w:t>
      </w:r>
    </w:p>
    <w:p>
      <w:pPr>
        <w:pStyle w:val="ListParagraph"/>
        <w:numPr>
          <w:ilvl w:val="0"/>
          <w:numId w:val="2"/>
        </w:numPr>
        <w:spacing w:after="80" w:before="160"/>
      </w:pPr>
      <w:r>
        <w:rPr>
          <w:b/>
          <w:bCs/>
        </w:rPr>
        <w:t xml:space="preserve">General</w:t>
      </w:r>
    </w:p>
    <w:p>
      <w:pPr>
        <w:spacing w:after="120"/>
      </w:pPr>
      <w:r>
        <w:t xml:space="preserve">The Warranties are given subject to the matters disclosed in this letter and its Schedules. The Buyer is treated as having actual knowledge of all matters fairly disclosed.</w:t>
      </w:r>
    </w:p>
    <w:p>
      <w:pPr>
        <w:spacing w:after="120"/>
      </w:pPr>
      <w:r>
        <w:t xml:space="preserve">Disclosure of any matter is not an admission that it is material or that it gives rise to any liability, and is made solely for the purpose of qualifying the Warranties.</w:t>
      </w:r>
    </w:p>
    <w:p>
      <w:pPr>
        <w:pStyle w:val="ListParagraph"/>
        <w:numPr>
          <w:ilvl w:val="0"/>
          <w:numId w:val="2"/>
        </w:numPr>
        <w:spacing w:after="80" w:before="160"/>
      </w:pPr>
      <w:r>
        <w:rPr>
          <w:b/>
          <w:bCs/>
        </w:rPr>
        <w:t xml:space="preserve">General disclosures</w:t>
      </w:r>
    </w:p>
    <w:p>
      <w:pPr>
        <w:spacing w:after="120"/>
      </w:pPr>
      <w:r>
        <w:t xml:space="preserve">The following are disclosed against all of the Warranties:</w:t>
      </w:r>
    </w:p>
    <w:p>
      <w:pPr>
        <w:pStyle w:val="ListParagraph"/>
        <w:numPr>
          <w:ilvl w:val="0"/>
          <w:numId w:val="3"/>
        </w:numPr>
        <w:spacing w:after="80"/>
      </w:pPr>
      <w:r>
        <w:t xml:space="preserve">all matters apparent from the searches at Companies House, the Land Registry and the Intellectual Property Office carried out against the Company in the two weeks before the date of this letter;</w:t>
      </w:r>
    </w:p>
    <w:p>
      <w:pPr>
        <w:pStyle w:val="ListParagraph"/>
        <w:numPr>
          <w:ilvl w:val="0"/>
          <w:numId w:val="3"/>
        </w:numPr>
        <w:spacing w:after="80"/>
      </w:pPr>
      <w:r>
        <w:t xml:space="preserve">all matters contained in the audited accounts of the Company for the years ended 31 March 2023, 2024 and 2025 and the management accounts to 31 January 2026;</w:t>
      </w:r>
    </w:p>
    <w:p>
      <w:pPr>
        <w:pStyle w:val="ListParagraph"/>
        <w:numPr>
          <w:ilvl w:val="0"/>
          <w:numId w:val="3"/>
        </w:numPr>
        <w:spacing w:after="80"/>
      </w:pPr>
      <w:r>
        <w:t xml:space="preserve">all matters disclosed in the data room hosted on the Datasite platform between 1 December 2025 and 25 February 2026, the index of which is annexed;</w:t>
      </w:r>
    </w:p>
    <w:p>
      <w:pPr>
        <w:pStyle w:val="ListParagraph"/>
        <w:numPr>
          <w:ilvl w:val="0"/>
          <w:numId w:val="3"/>
        </w:numPr>
        <w:spacing w:after="80"/>
      </w:pPr>
      <w:r>
        <w:t xml:space="preserve">all matters which would be revealed by a search of public registers maintained by HMRC, the Pensions Regulator and the Food Standards Agency.</w:t>
      </w:r>
    </w:p>
    <w:p>
      <w:pPr>
        <w:pStyle w:val="ListParagraph"/>
        <w:numPr>
          <w:ilvl w:val="0"/>
          <w:numId w:val="2"/>
        </w:numPr>
        <w:spacing w:after="80" w:before="160"/>
      </w:pPr>
      <w:r>
        <w:rPr>
          <w:b/>
          <w:bCs/>
        </w:rPr>
        <w:t xml:space="preserve">Specific disclosures</w:t>
      </w:r>
    </w:p>
    <w:p>
      <w:pPr>
        <w:spacing w:after="120"/>
      </w:pPr>
      <w:r>
        <w:t xml:space="preserve">The following specific matters are disclosed against the Warranties identified: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20"/>
                <w:szCs w:val="20"/>
              </w:rPr>
              <w:t xml:space="preserve">Warranty</w:t>
            </w:r>
          </w:p>
        </w:tc>
        <w:tc>
          <w:tcPr>
            <w:tcW w:type="dxa" w:w="67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20"/>
                <w:szCs w:val="20"/>
              </w:rPr>
              <w:t xml:space="preserve">Disclosure</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8.1 (Material contracts)</w:t>
            </w:r>
          </w:p>
        </w:tc>
        <w:tc>
          <w:tcPr>
            <w:tcW w:type="dxa" w:w="6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The supply agreement with Pawsome Retail Group (12% of revenue) contains a change-of-control right exercisable within 30 days of completion. A consent request is pending; see data-room document 4.2.1.</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9.3 (Litigation)</w:t>
            </w:r>
          </w:p>
        </w:tc>
        <w:tc>
          <w:tcPr>
            <w:tcW w:type="dxa" w:w="6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A former employee, R. Whitmore, has lodged an employment-tribunal claim alleging unfair dismissal (ET claim 2406123/2025). The Company’s exposure is estimated by its advisers at no more than £35,000.</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11.2 (Intellectual property)</w:t>
            </w:r>
          </w:p>
        </w:tc>
        <w:tc>
          <w:tcPr>
            <w:tcW w:type="dxa" w:w="6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The “Wren &amp; Hartley” word mark is registered (UK00003456789); the stylised paw-print device mark application (UK00003998123) remains pending at the IPO.</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12.4 (Environmental)</w:t>
            </w:r>
          </w:p>
        </w:tc>
        <w:tc>
          <w:tcPr>
            <w:tcW w:type="dxa" w:w="6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An Environment Agency permit variation for the Whalley site’s chilled-effluent discharge is under review; no enforcement action is outstanding.</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14.1 (Employees)</w:t>
            </w:r>
          </w:p>
        </w:tc>
        <w:tc>
          <w:tcPr>
            <w:tcW w:type="dxa" w:w="6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Two senior managers are on enhanced notice periods of nine months. Full particulars are in data-room folder 6.</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15.6 (Property)</w:t>
            </w:r>
          </w:p>
        </w:tc>
        <w:tc>
          <w:tcPr>
            <w:tcW w:type="dxa" w:w="6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The Brookfield Mill leasehold (term to 2039) requires landlord consent to the change of control; the form of licence to assign is at data-room document 5.3.</w:t>
            </w:r>
          </w:p>
        </w:tc>
      </w:tr>
    </w:tbl>
    <w:p>
      <w:pPr>
        <w:spacing w:after="120"/>
      </w:pPr>
      <w:r>
        <w:t xml:space="preserve"> </w:t>
      </w:r>
    </w:p>
    <w:p>
      <w:pPr>
        <w:spacing w:after="120"/>
      </w:pPr>
      <w:r>
        <w:t xml:space="preserve">Yours faithfully</w:t>
      </w:r>
    </w:p>
    <w:p>
      <w:pPr>
        <w:spacing w:after="120"/>
      </w:pPr>
      <w:r>
        <w:t xml:space="preserve">……………………  for and on behalf of the Sellers</w:t>
      </w:r>
    </w:p>
    <w:p>
      <w:pPr>
        <w:spacing w:after="120"/>
      </w:pPr>
      <w:r>
        <w:rPr>
          <w:b/>
          <w:bCs/>
        </w:rPr>
        <w:t xml:space="preserve">Schedules:</w:t>
      </w:r>
    </w:p>
    <w:p>
      <w:pPr>
        <w:pStyle w:val="ListParagraph"/>
        <w:numPr>
          <w:ilvl w:val="0"/>
          <w:numId w:val="4"/>
        </w:numPr>
        <w:spacing w:after="80"/>
      </w:pPr>
      <w:r>
        <w:t xml:space="preserve">Schedule 1 – Data-room index (see separate disclosure bundle index)</w:t>
      </w:r>
    </w:p>
    <w:p>
      <w:pPr>
        <w:pStyle w:val="ListParagraph"/>
        <w:numPr>
          <w:ilvl w:val="0"/>
          <w:numId w:val="4"/>
        </w:numPr>
        <w:spacing w:after="80"/>
      </w:pPr>
      <w:r>
        <w:t xml:space="preserve">Schedule 2 – Copy material contracts</w:t>
      </w:r>
    </w:p>
    <w:p>
      <w:pPr>
        <w:pStyle w:val="ListParagraph"/>
        <w:numPr>
          <w:ilvl w:val="0"/>
          <w:numId w:val="4"/>
        </w:numPr>
        <w:spacing w:after="80"/>
      </w:pPr>
      <w:r>
        <w:t xml:space="preserve">Schedule 3 – Company searches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4"/>
        <w:szCs w:val="14"/>
      </w:rPr>
      <w:t xml:space="preserve">Whitfield Carter LLP  |  Strictly private and confidential</w:t>
    </w:r>
    <w:r>
      <w:rPr>
        <w:color w:val="888888"/>
        <w:sz w:val="14"/>
        <w:szCs w:val="14"/>
      </w:rPr>
      <w:t xml:space="preserve">	Page </w:t>
    </w:r>
    <w:r>
      <w:rPr>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b/>
        <w:bCs/>
        <w:sz w:val="22"/>
        <w:szCs w:val="22"/>
      </w:rPr>
      <w:t xml:space="preserve">Whitfield Carter LLP</w:t>
    </w:r>
  </w:p>
  <w:p>
    <w:pPr>
      <w:spacing w:after="60"/>
      <w:jc w:val="right"/>
    </w:pPr>
    <w:r>
      <w:rPr>
        <w:color w:val="555555"/>
        <w:sz w:val="16"/>
        <w:szCs w:val="16"/>
      </w:rPr>
      <w:t xml:space="preserve">22 Bishopsgate, London EC2N 4BQ</w:t>
    </w:r>
  </w:p>
  <w:p>
    <w:pPr>
      <w:pBdr>
        <w:bottom w:val="single" w:color="1F3864"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480"/>
      </w:pPr>
    </w:lvl>
  </w:abstractNum>
  <w:abstractNum w:abstractNumId="5" w15:restartNumberingAfterBreak="0">
    <w:multiLevelType w:val="hybridMultilevel"/>
    <w:lvl w:ilvl="0" w15:tentative="1">
      <w:start w:val="1"/>
      <w:numFmt w:val="lowerRoman"/>
      <w:lvlText w:val="(%1)"/>
      <w:lvlJc w:val="left"/>
      <w:pPr>
        <w:ind w:left="1440" w:hanging="4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28"/>
      <w:szCs w:val="28"/>
    </w:rPr>
  </w:style>
  <w:style w:type="paragraph" w:styleId="Heading2">
    <w:name w:val="Heading 2"/>
    <w:basedOn w:val="Normal"/>
    <w:next w:val="Normal"/>
    <w:qFormat/>
    <w:pPr>
      <w:spacing w:after="100" w:before="180"/>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2026-06-29T15:40:20.594Z</dcterms:created>
  <dcterms:modified xsi:type="dcterms:W3CDTF">2026-06-29T15:40:20.594Z</dcterms:modified>
</cp:coreProperties>
</file>

<file path=docProps/custom.xml><?xml version="1.0" encoding="utf-8"?>
<Properties xmlns="http://schemas.openxmlformats.org/officeDocument/2006/custom-properties" xmlns:vt="http://schemas.openxmlformats.org/officeDocument/2006/docPropsVTypes"/>
</file>