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Whitfield Carter LLP</w:t>
      </w:r>
    </w:p>
    <w:p>
      <w:pPr>
        <w:spacing w:after="120"/>
      </w:pPr>
      <w:r>
        <w:t xml:space="preserve">22 Bishopsgate, London EC2N 4BQ  |  DX 123 London  |  +44 (0)20 7946 0100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Strictly private and confidential</w:t>
      </w:r>
    </w:p>
    <w:p>
      <w:pPr>
        <w:spacing w:after="120"/>
      </w:pPr>
      <w:r>
        <w:t xml:space="preserve">Mr Gregory Talbot</w:t>
      </w:r>
    </w:p>
    <w:p>
      <w:pPr>
        <w:spacing w:after="120"/>
      </w:pPr>
      <w:r>
        <w:t xml:space="preserve">Calderstone Capital Partners LLP</w:t>
      </w:r>
    </w:p>
    <w:p>
      <w:pPr>
        <w:spacing w:after="120"/>
      </w:pPr>
      <w:r>
        <w:t xml:space="preserve">18 St James’s Square, London SW1Y 4JR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14 November 2025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Dear Daniel</w:t>
      </w:r>
    </w:p>
    <w:p>
      <w:pPr>
        <w:pStyle w:val="Heading2"/>
      </w:pPr>
      <w:r>
        <w:t xml:space="preserve">Project Falcon – proposed acquisition of Wren &amp; Hartley Limited</w:t>
      </w:r>
    </w:p>
    <w:p>
      <w:pPr>
        <w:spacing w:after="120"/>
      </w:pPr>
      <w:r>
        <w:t xml:space="preserve">Thank you for instructing Whitfield Carter LLP in connection with the proposed acquisition by Calderstone (or a newly incorporated acquisition vehicle) of the entire issued share capital of Wren &amp; Hartley Limited (the “Transaction”). This letter, together with our enclosed standard terms of business, sets out the basis on which we will act.</w:t>
      </w:r>
    </w:p>
    <w:p>
      <w:pPr>
        <w:pStyle w:val="ListParagraph"/>
        <w:numPr>
          <w:ilvl w:val="0"/>
          <w:numId w:val="2"/>
        </w:numPr>
        <w:spacing w:after="80" w:before="160"/>
      </w:pPr>
      <w:r>
        <w:rPr>
          <w:b/>
          <w:bCs/>
        </w:rPr>
        <w:t xml:space="preserve">Scope of work</w:t>
      </w:r>
    </w:p>
    <w:p>
      <w:pPr>
        <w:spacing w:after="120"/>
      </w:pPr>
      <w:r>
        <w:t xml:space="preserve">Our engagement covers: (a) corporate legal advice on the structure of the Transaction; (b) preparation and negotiation of the principal transaction documents, including the share purchase agreement, disclosure letter and ancillary documents; (c) co-ordination and review of legal due diligence; and (d) assistance with completion and post-completion matters.</w:t>
      </w:r>
    </w:p>
    <w:p>
      <w:pPr>
        <w:spacing w:after="120"/>
      </w:pPr>
      <w:r>
        <w:t xml:space="preserve">Tax structuring advice will be provided by your appointed accountants, Marlow Tax &amp; Advisory Ltd, with whom we will liaise. Specialist environmental and pensions advice, if required, will be scoped separately.</w:t>
      </w:r>
    </w:p>
    <w:p>
      <w:pPr>
        <w:pStyle w:val="ListParagraph"/>
        <w:numPr>
          <w:ilvl w:val="0"/>
          <w:numId w:val="2"/>
        </w:numPr>
        <w:spacing w:after="80" w:before="160"/>
      </w:pPr>
      <w:r>
        <w:rPr>
          <w:b/>
          <w:bCs/>
        </w:rPr>
        <w:t xml:space="preserve">Our team</w:t>
      </w:r>
    </w:p>
    <w:p>
      <w:pPr>
        <w:spacing w:after="120"/>
      </w:pPr>
      <w:r>
        <w:t xml:space="preserve">The engagement will be led by Sarah Whitfield (Partner). James Osei (Senior Associate) will have day-to-day conduct of the matter, supported by Elena Marchetti (Associate). Donna Bridges will provide practice support.</w:t>
      </w:r>
    </w:p>
    <w:p>
      <w:pPr>
        <w:pStyle w:val="ListParagraph"/>
        <w:numPr>
          <w:ilvl w:val="0"/>
          <w:numId w:val="2"/>
        </w:numPr>
        <w:spacing w:after="80" w:before="160"/>
      </w:pPr>
      <w:r>
        <w:rPr>
          <w:b/>
          <w:bCs/>
        </w:rPr>
        <w:t xml:space="preserve">Fees and estimate</w:t>
      </w:r>
    </w:p>
    <w:p>
      <w:pPr>
        <w:spacing w:after="120"/>
      </w:pPr>
      <w:r>
        <w:t xml:space="preserve">Our fees are charged by reference to time spent at the following hourly rates (exclusive of VAT): Partner – £760; Senior Associate – £520; Associate – £395. Based on the information currently available, we estimate our fees for the Transaction through to completion at between £185,000 and £240,000 plus VAT and disbursements. This is an estimate and not a fixed quotation.</w:t>
      </w:r>
    </w:p>
    <w:p>
      <w:pPr>
        <w:spacing w:after="120"/>
      </w:pPr>
      <w:r>
        <w:t xml:space="preserve">We will render interim invoices monthly. Disbursements (including Companies House fees, search fees and counsel’s fees, if any) will be charged in addition.</w:t>
      </w:r>
    </w:p>
    <w:p>
      <w:pPr>
        <w:pStyle w:val="ListParagraph"/>
        <w:numPr>
          <w:ilvl w:val="0"/>
          <w:numId w:val="2"/>
        </w:numPr>
        <w:spacing w:after="80" w:before="160"/>
      </w:pPr>
      <w:r>
        <w:rPr>
          <w:b/>
          <w:bCs/>
        </w:rPr>
        <w:t xml:space="preserve">Conflicts and confidentiality</w:t>
      </w:r>
    </w:p>
    <w:p>
      <w:pPr>
        <w:spacing w:after="120"/>
      </w:pPr>
      <w:r>
        <w:t xml:space="preserve">We have carried out a conflict check and are not aware of any conflict preventing us from acting. We will keep your affairs confidential in accordance with our professional obligations and applicable data protection law.</w:t>
      </w:r>
    </w:p>
    <w:p>
      <w:pPr>
        <w:pStyle w:val="ListParagraph"/>
        <w:numPr>
          <w:ilvl w:val="0"/>
          <w:numId w:val="2"/>
        </w:numPr>
        <w:spacing w:after="80" w:before="160"/>
      </w:pPr>
      <w:r>
        <w:rPr>
          <w:b/>
          <w:bCs/>
        </w:rPr>
        <w:t xml:space="preserve">Acceptance</w:t>
      </w:r>
    </w:p>
    <w:p>
      <w:pPr>
        <w:spacing w:after="120"/>
      </w:pPr>
      <w:r>
        <w:t xml:space="preserve">Please confirm your agreement to these terms by signing and returning the enclosed copy of this letter. We look forward to working with you on the Transaction.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Yours sincerely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Sarah Whitfield</w:t>
      </w:r>
    </w:p>
    <w:p>
      <w:pPr>
        <w:spacing w:after="120"/>
      </w:pPr>
      <w:r>
        <w:t xml:space="preserve">Partner, for and on behalf of Whitfield Carter LLP</w:t>
      </w:r>
    </w:p>
    <w:p>
      <w:pPr>
        <w:spacing w:after="120"/>
      </w:pPr>
      <w:r>
        <w:t xml:space="preserve">sarah.whitfield@whitfieldcarter.com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I confirm acceptance of the terms set out in this letter on behalf of Calderstone Capital Partners LLP:</w:t>
      </w:r>
    </w:p>
    <w:p>
      <w:pPr>
        <w:spacing w:after="120"/>
      </w:pPr>
      <w:r>
        <w:t xml:space="preserve">Signed: ……………………  Name: Gregory Talbot  Date: …………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4"/>
        <w:szCs w:val="14"/>
      </w:rPr>
      <w:t xml:space="preserve">Whitfield Carter LLP  |  Strictly private and confidential</w:t>
    </w:r>
    <w:r>
      <w:rPr>
        <w:color w:val="888888"/>
        <w:sz w:val="14"/>
        <w:szCs w:val="14"/>
      </w:rPr>
      <w:t xml:space="preserve">	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sz w:val="22"/>
        <w:szCs w:val="22"/>
      </w:rPr>
      <w:t xml:space="preserve">Whitfield Carter LLP</w:t>
    </w:r>
  </w:p>
  <w:p>
    <w:pPr>
      <w:spacing w:after="60"/>
      <w:jc w:val="right"/>
    </w:pPr>
    <w:r>
      <w:rPr>
        <w:color w:val="555555"/>
        <w:sz w:val="16"/>
        <w:szCs w:val="16"/>
      </w:rPr>
      <w:t xml:space="preserve">22 Bishopsgate, London EC2N 4BQ</w:t>
    </w:r>
  </w:p>
  <w:p>
    <w:pPr>
      <w:pBdr>
        <w:bottom w:val="single" w:color="1F3864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2026-06-29T15:40:20.573Z</dcterms:created>
  <dcterms:modified xsi:type="dcterms:W3CDTF">2026-06-29T15:40:20.573Z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