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HEADS OF TERMS</w:t>
      </w:r>
    </w:p>
    <w:p>
      <w:pPr>
        <w:spacing w:after="120"/>
      </w:pPr>
      <w:r>
        <w:rPr>
          <w:b/>
          <w:bCs/>
        </w:rPr>
        <w:t xml:space="preserve">Project Falcon – proposed acquisition of Wren &amp; Hartley Limited</w:t>
      </w:r>
    </w:p>
    <w:p>
      <w:pPr>
        <w:spacing w:after="120"/>
      </w:pPr>
      <w:r>
        <w:rPr>
          <w:b/>
          <w:bCs/>
        </w:rPr>
        <w:t xml:space="preserve">Subject to contract  –  Not legally binding (save for clauses 9 to 12)</w:t>
      </w:r>
    </w:p>
    <w:p>
      <w:pPr>
        <w:spacing w:after="120"/>
      </w:pPr>
      <w:r>
        <w:t xml:space="preserve">Dated 24 November 2025</w:t>
      </w:r>
    </w:p>
    <w:p>
      <w:pPr>
        <w:spacing w:after="120"/>
      </w:pPr>
      <w:r>
        <w:t xml:space="preserve">These heads of terms record the principal terms on which Calderstone Capital Partners LLP (“Calderstone”), through a newly incorporated acquisition vehicle, proposes to acquire the entire issued share capital of Wren &amp; Hartley Limited (the “Company”) from the Sellers. Save as expressly stated, these heads of terms are not legally binding and are subject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Item</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Summary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Buyer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Falcon Bidco Limited, a newly incorporated English company wholly owned by funds managed by Calderstone.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Sellers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 James Hartley and the Wren Family Trust (together holding 100% of the issued share capital).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Target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Wren &amp; Hartley Limited – premium pet-nutrition manufacturer (chilled and dry), Whalley, Lancashire.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Structure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Acquisition of 100% of the issued ordinary shares; cash-free, debt-free, with a normalised working-capital adjustment.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Enterprise value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£52,000,000 on a cash-free, debt-free basis.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Headline equity value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Approximately £44,600,000, being enterprise value less estimated net debt of £6,100,000, subject to completion-accounts adjustment.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Consideration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Payable in cash on completion, subject to a retention of £2,000,000 held in escrow for 18 months against warranty and tax claims.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Management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existing managing director to be retained on amended service terms; founders Eleanor Wren and James Hartley to provide a six-month consultancy handover.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Conditions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Satisfactory legal, financial and commercial due diligence; agreed transaction documents; key customer-contract consents; and Calderstone investment-committee approval.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Exclusivity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Eight weeks’ exclusivity from the date of these heads of terms (clause 9, binding).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Target timetable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Signing and completion targeted for late February 2026.</w:t>
            </w:r>
          </w:p>
        </w:tc>
      </w:tr>
    </w:tbl>
    <w:p>
      <w:pPr>
        <w:pStyle w:val="ListParagraph"/>
        <w:numPr>
          <w:ilvl w:val="0"/>
          <w:numId w:val="2"/>
        </w:numPr>
        <w:spacing w:after="80" w:before="160"/>
      </w:pPr>
      <w:r>
        <w:rPr>
          <w:b/>
          <w:bCs/>
        </w:rPr>
        <w:t xml:space="preserve">Due diligence</w:t>
      </w:r>
    </w:p>
    <w:p>
      <w:pPr>
        <w:spacing w:after="120"/>
      </w:pPr>
      <w:r>
        <w:t xml:space="preserve">The Sellers shall procure that Calderstone and its advisers are given reasonable access to the Company’s books, records, premises and management to carry out due diligence.</w:t>
      </w:r>
    </w:p>
    <w:p>
      <w:pPr>
        <w:pStyle w:val="ListParagraph"/>
        <w:numPr>
          <w:ilvl w:val="0"/>
          <w:numId w:val="2"/>
        </w:numPr>
        <w:spacing w:after="80" w:before="160"/>
      </w:pPr>
      <w:r>
        <w:rPr>
          <w:b/>
          <w:bCs/>
        </w:rPr>
        <w:t xml:space="preserve">Transaction documents</w:t>
      </w:r>
    </w:p>
    <w:p>
      <w:pPr>
        <w:spacing w:after="120"/>
      </w:pPr>
      <w:r>
        <w:t xml:space="preserve">The acquisition will be documented by a share purchase agreement containing warranties, a tax covenant and customary limitations, together with a disclosure letter and ancillary documents.</w:t>
      </w:r>
    </w:p>
    <w:p>
      <w:pPr>
        <w:pStyle w:val="ListParagraph"/>
        <w:numPr>
          <w:ilvl w:val="0"/>
          <w:numId w:val="2"/>
        </w:numPr>
        <w:spacing w:after="80" w:before="160"/>
      </w:pPr>
      <w:r>
        <w:rPr>
          <w:b/>
          <w:bCs/>
        </w:rPr>
        <w:t xml:space="preserve">Conditions to completion</w:t>
      </w:r>
    </w:p>
    <w:p>
      <w:pPr>
        <w:spacing w:after="120"/>
      </w:pPr>
      <w:r>
        <w:t xml:space="preserve">Completion will be conditional on the matters summarised in the table above.</w:t>
      </w:r>
    </w:p>
    <w:p>
      <w:pPr>
        <w:pStyle w:val="ListParagraph"/>
        <w:numPr>
          <w:ilvl w:val="0"/>
          <w:numId w:val="2"/>
        </w:numPr>
        <w:spacing w:after="80" w:before="160"/>
      </w:pPr>
      <w:r>
        <w:rPr>
          <w:b/>
          <w:bCs/>
        </w:rPr>
        <w:t xml:space="preserve">Costs</w:t>
      </w:r>
    </w:p>
    <w:p>
      <w:pPr>
        <w:spacing w:after="120"/>
      </w:pPr>
      <w:r>
        <w:t xml:space="preserve">Each party bears its own costs.</w:t>
      </w:r>
    </w:p>
    <w:p>
      <w:pPr>
        <w:pStyle w:val="Heading2"/>
      </w:pPr>
      <w:r>
        <w:t xml:space="preserve">Binding provisions</w:t>
      </w:r>
    </w:p>
    <w:p>
      <w:pPr>
        <w:pStyle w:val="ListParagraph"/>
        <w:numPr>
          <w:ilvl w:val="0"/>
          <w:numId w:val="2"/>
        </w:numPr>
        <w:spacing w:after="80" w:before="160"/>
      </w:pPr>
      <w:r>
        <w:rPr>
          <w:b/>
          <w:bCs/>
        </w:rPr>
        <w:t xml:space="preserve">Exclusivity (binding)</w:t>
      </w:r>
    </w:p>
    <w:p>
      <w:pPr>
        <w:spacing w:after="120"/>
      </w:pPr>
      <w:r>
        <w:t xml:space="preserve">For eight weeks from the date of these heads of terms (the “Exclusivity Period”), the Sellers shall not, and shall procure that the Company does not, solicit, encourage or enter into any discussions with any third party regarding a sale of the Company or its business.</w:t>
      </w:r>
    </w:p>
    <w:p>
      <w:pPr>
        <w:pStyle w:val="ListParagraph"/>
        <w:numPr>
          <w:ilvl w:val="0"/>
          <w:numId w:val="2"/>
        </w:numPr>
        <w:spacing w:after="80" w:before="160"/>
      </w:pPr>
      <w:r>
        <w:rPr>
          <w:b/>
          <w:bCs/>
        </w:rPr>
        <w:t xml:space="preserve">Confidentiality (binding)</w:t>
      </w:r>
    </w:p>
    <w:p>
      <w:pPr>
        <w:spacing w:after="120"/>
      </w:pPr>
      <w:r>
        <w:t xml:space="preserve">The parties shall keep the existence and terms of these heads of terms and the proposed Transaction confidential, in accordance with the mutual non-disclosure agreement dated 12 November 2025.</w:t>
      </w:r>
    </w:p>
    <w:p>
      <w:pPr>
        <w:pStyle w:val="ListParagraph"/>
        <w:numPr>
          <w:ilvl w:val="0"/>
          <w:numId w:val="2"/>
        </w:numPr>
        <w:spacing w:after="80" w:before="160"/>
      </w:pPr>
      <w:r>
        <w:rPr>
          <w:b/>
          <w:bCs/>
        </w:rPr>
        <w:t xml:space="preserve">No binding obligation (binding)</w:t>
      </w:r>
    </w:p>
    <w:p>
      <w:pPr>
        <w:spacing w:after="120"/>
      </w:pPr>
      <w:r>
        <w:t xml:space="preserve">Save for clauses 9 to 12, these heads of terms do not create any legally binding obligation and no party is obliged to proceed with the Transaction.</w:t>
      </w:r>
    </w:p>
    <w:p>
      <w:pPr>
        <w:pStyle w:val="ListParagraph"/>
        <w:numPr>
          <w:ilvl w:val="0"/>
          <w:numId w:val="2"/>
        </w:numPr>
        <w:spacing w:after="80" w:before="160"/>
      </w:pPr>
      <w:r>
        <w:rPr>
          <w:b/>
          <w:bCs/>
        </w:rPr>
        <w:t xml:space="preserve">Governing law (binding)</w:t>
      </w:r>
    </w:p>
    <w:p>
      <w:pPr>
        <w:spacing w:after="120"/>
      </w:pPr>
      <w:r>
        <w:t xml:space="preserve">These heads of terms are governed by the laws of England and Wales.</w:t>
      </w:r>
    </w:p>
    <w:p>
      <w:pPr>
        <w:spacing w:after="120"/>
      </w:pPr>
      <w:r>
        <w:t xml:space="preserve"> </w:t>
      </w:r>
    </w:p>
    <w:p>
      <w:pPr>
        <w:spacing w:after="120"/>
      </w:pPr>
      <w:r>
        <w:t xml:space="preserve">Agreed for and on behalf of Calderstone Capital Partners LLP: ……………  (Gregory Talbot)</w:t>
      </w:r>
    </w:p>
    <w:p>
      <w:pPr>
        <w:spacing w:after="120"/>
      </w:pPr>
      <w:r>
        <w:t xml:space="preserve">Agreed for and on behalf of the Sellers: ……………  (Eleanor Wren)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2026-06-29T15:40:20.583Z</dcterms:created>
  <dcterms:modified xsi:type="dcterms:W3CDTF">2026-06-29T15:40:20.583Z</dcterms:modified>
</cp:coreProperties>
</file>

<file path=docProps/custom.xml><?xml version="1.0" encoding="utf-8"?>
<Properties xmlns="http://schemas.openxmlformats.org/officeDocument/2006/custom-properties" xmlns:vt="http://schemas.openxmlformats.org/officeDocument/2006/docPropsVTypes"/>
</file>