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pPr>
      <w:r>
        <w:t xml:space="preserve">Ms K. Whitlow</w:t>
      </w:r>
    </w:p>
    <w:p>
      <w:pPr>
        <w:spacing w:after="120" w:line="276"/>
      </w:pPr>
      <w:r>
        <w:t xml:space="preserve">HM Inspector, Vehicle Safety Branch</w:t>
      </w:r>
    </w:p>
    <w:p>
      <w:pPr>
        <w:spacing w:after="120" w:line="276"/>
      </w:pPr>
      <w:r>
        <w:t xml:space="preserve">Driver and Vehicle Standards Agency</w:t>
      </w:r>
    </w:p>
    <w:p>
      <w:pPr>
        <w:spacing w:after="160" w:line="276"/>
      </w:pPr>
      <w:r>
        <w:t xml:space="preserve">1 Eastgate Office Centre, Eastgate Road, Bristol BS5 6XX</w:t>
      </w:r>
    </w:p>
    <w:p>
      <w:pPr>
        <w:tabs>
          <w:tab w:val="right" w:pos="9026"/>
        </w:tabs>
        <w:spacing w:after="200"/>
      </w:pPr>
      <w:r>
        <w:t>3 November 2025	Our ref: WC-00198 / SW / TG  ·  DVSA ref: R/2025/118</w:t>
      </w:r>
    </w:p>
    <w:p>
      <w:pPr>
        <w:spacing w:after="100" w:line="276"/>
      </w:pPr>
      <w:r>
        <w:rPr>
          <w:b/>
          <w:bCs/>
        </w:rPr>
        <w:t xml:space="preserve">Dear Ms Whitlow</w:t>
      </w:r>
    </w:p>
    <w:p>
      <w:pPr>
        <w:spacing w:after="140" w:line="276"/>
      </w:pPr>
      <w:r>
        <w:rPr>
          <w:b/>
          <w:bCs/>
        </w:rPr>
        <w:t xml:space="preserve">Calderwell CV-7 — recall R/2025/118 — revised action plan</w:t>
      </w:r>
    </w:p>
    <w:p>
      <w:pPr>
        <w:spacing w:after="120" w:line="276"/>
      </w:pPr>
      <w:r>
        <w:t xml:space="preserve">Thank you for your letter of 23 October 2025 acknowledging the notification and allocating recall reference R/2025/118. We write on behalf of Calderwell Mobility Limited to enclose the revised recall action plan, which has been updated to address each of the points raised by the Branch. In summary:</w:t>
      </w:r>
    </w:p>
    <w:p>
      <w:pPr>
        <w:pStyle w:val="ListParagraph"/>
        <w:numPr>
          <w:ilvl w:val="0"/>
          <w:numId w:val="2"/>
        </w:numPr>
        <w:spacing w:after="100" w:line="276"/>
      </w:pPr>
      <w:r>
        <w:t xml:space="preserve">Completion target: the Company has increased its 12-month completion target to 90%, with continued effort to reach the highest practicable rate thereafter, and the plan now sets out the escalation steps for non-responding keepers (including a recorded-delivery reminder and a DVLA keeper re-check).</w:t>
      </w:r>
    </w:p>
    <w:p>
      <w:pPr>
        <w:pStyle w:val="ListParagraph"/>
        <w:numPr>
          <w:ilvl w:val="0"/>
          <w:numId w:val="2"/>
        </w:numPr>
        <w:spacing w:after="100" w:line="276"/>
      </w:pPr>
      <w:r>
        <w:t xml:space="preserve">Phase 1 timing: immediate safety guidance to affected fleet operators will be completed within 10 days of launch.</w:t>
      </w:r>
    </w:p>
    <w:p>
      <w:pPr>
        <w:pStyle w:val="ListParagraph"/>
        <w:numPr>
          <w:ilvl w:val="0"/>
          <w:numId w:val="2"/>
        </w:numPr>
        <w:spacing w:after="100" w:line="276"/>
      </w:pPr>
      <w:r>
        <w:t xml:space="preserve">Deployment sequencing: the plan now confirms that over-the-air deployment will be prioritised to connected vehicles, with workshop bookings arranged in parallel for non-OTA vehicles and any OTA vehicle not updated within 21 days.</w:t>
      </w:r>
    </w:p>
    <w:p>
      <w:pPr>
        <w:pStyle w:val="ListParagraph"/>
        <w:numPr>
          <w:ilvl w:val="0"/>
          <w:numId w:val="2"/>
        </w:numPr>
        <w:spacing w:after="100" w:line="276"/>
      </w:pPr>
      <w:r>
        <w:t xml:space="preserve">VIN schedule and reporting: the full VIN schedule accompanies this letter, and the Company confirms it will report interim completion figures at 3, 6 and 12 months.</w:t>
      </w:r>
    </w:p>
    <w:p>
      <w:pPr>
        <w:spacing w:after="120" w:line="276"/>
      </w:pPr>
      <w:r>
        <w:t xml:space="preserve">The Company launched the recall on 4 November 2025 and over-the-air deployment to connected vehicles has begun. The Company is grateful for the Branch’s cooperative approach and will keep you updated against the reporting milestones. Please let us know if any further information would assist.</w:t>
      </w:r>
    </w:p>
    <w:p>
      <w:pPr>
        <w:spacing w:after="200" w:line="276"/>
      </w:pPr>
      <w:r>
        <w:t xml:space="preserve">Yours sincerely</w:t>
      </w:r>
    </w:p>
    <w:p>
      <w:pPr>
        <w:spacing w:after="120" w:line="276"/>
      </w:pPr>
      <w:r>
        <w:t xml:space="preserve"> </w:t>
      </w:r>
    </w:p>
    <w:p>
      <w:pPr>
        <w:spacing w:after="40"/>
      </w:pPr>
      <w:r>
        <w:rPr>
          <w:sz w:val="22"/>
          <w:szCs w:val="22"/>
        </w:rPr>
        <w:t xml:space="preserve">_______________________________</w:t>
      </w:r>
    </w:p>
    <w:p>
      <w:pPr>
        <w:spacing w:after="20" w:line="276"/>
      </w:pPr>
      <w:r>
        <w:rPr>
          <w:b/>
          <w:bCs/>
        </w:rPr>
        <w:t xml:space="preserve">Whitfield Carter LLP</w:t>
      </w:r>
    </w:p>
    <w:p>
      <w:pPr>
        <w:spacing w:after="120" w:line="276"/>
      </w:pPr>
      <w:r>
        <w:rPr>
          <w:i/>
          <w:iCs/>
          <w:sz w:val="20"/>
          <w:szCs w:val="20"/>
        </w:rPr>
        <w:t xml:space="preserve"/>
      </w:r>
    </w:p>
    <w:p>
      <w:pPr>
        <w:spacing w:after="120" w:line="276"/>
      </w:pPr>
      <w:r>
        <w:t xml:space="preserve"> </w:t>
      </w:r>
    </w:p>
    <w:p>
      <w:pPr>
        <w:spacing w:after="120" w:line="276"/>
      </w:pPr>
      <w:r>
        <w:rPr>
          <w:i/>
          <w:iCs/>
          <w:sz w:val="18"/>
          <w:szCs w:val="18"/>
        </w:rPr>
        <w:t xml:space="preserve">Enc: Voluntary Safety Recall – Action Plan (revised); CV-7 VIN schedule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tabs>
        <w:tab w:val="right" w:pos="9026"/>
      </w:tabs>
    </w:pPr>
    <w:r>
      <w:rPr>
        <w:color w:val="777777"/>
        <w:sz w:val="14"/>
        <w:szCs w:val="14"/>
      </w:rPr>
      <w:t xml:space="preserve">WC-00198 — Cover Letter (Revised Plan)  ·  Confidential and may be legally privileged.</w:t>
    </w:r>
    <w:r>
      <w:rPr>
        <w:color w:val="777777"/>
        <w:sz w:val="14"/>
        <w:szCs w:val="14"/>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sz w:val="26"/>
        <w:szCs w:val="26"/>
      </w:rPr>
      <w:t xml:space="preserve">WHITFIELD CARTER LLP</w:t>
    </w:r>
  </w:p>
  <w:p>
    <w:pPr>
      <w:pBdr>
        <w:bottom w:val="single" w:color="2E4A6B" w:sz="6" w:space="6"/>
      </w:pBdr>
      <w:spacing w:after="240"/>
    </w:pPr>
    <w:r>
      <w:rPr>
        <w:color w:val="555555"/>
        <w:sz w:val="16"/>
        <w:szCs w:val="16"/>
      </w:rPr>
      <w:t xml:space="preserve">22 Bishopsgate, London EC2N 4BQ  ·  +44 (0)20 7946 0000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bullet"/>
      <w:lvlText w:val="•"/>
      <w:lvlJc w:val="left"/>
      <w:pPr>
        <w:ind w:left="600" w:hanging="36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Roman"/>
      <w:lvlText w:val="(%1)"/>
      <w:lvlJc w:val="left"/>
      <w:pPr>
        <w:ind w:left="1080" w:hanging="4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100" w:before="180"/>
      <w:outlineLvl w:val="1"/>
    </w:pPr>
    <w:rPr>
      <w:rFonts w:ascii="Arial" w:cs="Arial" w:eastAsia="Arial" w:hAnsi="Arial"/>
      <w:b/>
      <w:bCs/>
      <w:sz w:val="24"/>
      <w:szCs w:val="24"/>
    </w:rPr>
  </w:style>
  <w:style w:type="paragraph" w:styleId="Heading3">
    <w:name w:val="Heading 3"/>
    <w:basedOn w:val="Normal"/>
    <w:next w:val="Normal"/>
    <w:qFormat/>
    <w:pPr>
      <w:spacing w:after="80" w:before="14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2026-06-29T20:32:06.236Z</dcterms:created>
  <dcterms:modified xsi:type="dcterms:W3CDTF">2026-06-29T20:32:06.236Z</dcterms:modified>
</cp:coreProperties>
</file>

<file path=docProps/custom.xml><?xml version="1.0" encoding="utf-8"?>
<Properties xmlns="http://schemas.openxmlformats.org/officeDocument/2006/custom-properties" xmlns:vt="http://schemas.openxmlformats.org/officeDocument/2006/docPropsVTypes"/>
</file>