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pPr>
      <w:r>
        <w:rPr>
          <w:i/>
          <w:iCs/>
        </w:rPr>
        <w:t xml:space="preserve">Strictly private and confidential</w:t>
      </w:r>
    </w:p>
    <w:p>
      <w:pPr>
        <w:spacing w:after="120" w:line="276"/>
      </w:pPr>
      <w:r>
        <w:rPr>
          <w:i/>
          <w:iCs/>
        </w:rPr>
        <w:t xml:space="preserve">By email and post</w:t>
      </w:r>
    </w:p>
    <w:p>
      <w:pPr>
        <w:spacing w:after="120" w:line="276"/>
      </w:pPr>
      <w:r>
        <w:t xml:space="preserve">Dr Daniel Calderwell</w:t>
      </w:r>
    </w:p>
    <w:p>
      <w:pPr>
        <w:spacing w:after="120" w:line="276"/>
      </w:pPr>
      <w:r>
        <w:t xml:space="preserve">Chief Executive Officer</w:t>
      </w:r>
    </w:p>
    <w:p>
      <w:pPr>
        <w:spacing w:after="120" w:line="276"/>
      </w:pPr>
      <w:r>
        <w:t xml:space="preserve">Calderwell Mobility Limited</w:t>
      </w:r>
    </w:p>
    <w:p>
      <w:pPr>
        <w:spacing w:after="200" w:line="276"/>
      </w:pPr>
      <w:r>
        <w:t xml:space="preserve">Pioneer House, Trafford Park, Manchester M17 1WA</w:t>
      </w:r>
    </w:p>
    <w:p>
      <w:pPr>
        <w:tabs>
          <w:tab w:val="right" w:pos="9026"/>
        </w:tabs>
        <w:spacing w:after="200"/>
      </w:pPr>
      <w:r>
        <w:t>9 October 2025	Our ref: WC-00198 / SW / TG</w:t>
      </w:r>
    </w:p>
    <w:p>
      <w:pPr>
        <w:spacing w:after="120" w:line="276"/>
      </w:pPr>
      <w:r>
        <w:rPr>
          <w:b/>
          <w:bCs/>
        </w:rPr>
        <w:t xml:space="preserve">Dear Daniel</w:t>
      </w:r>
    </w:p>
    <w:p>
      <w:pPr>
        <w:spacing w:after="160" w:line="276"/>
      </w:pPr>
      <w:r>
        <w:rPr>
          <w:b/>
          <w:bCs/>
        </w:rPr>
        <w:t xml:space="preserve">Engagement – DVSA vehicle safety investigation and proposed safety recall (CV-7 regenerative braking control)</w:t>
      </w:r>
    </w:p>
    <w:p>
      <w:pPr>
        <w:spacing w:after="120" w:line="276"/>
      </w:pPr>
      <w:r>
        <w:t xml:space="preserve">Thank you for instructing Whitfield Carter LLP in connection with the suspected safety-related defect identified in the regenerative braking control software of the Calderwell CV-7 electric panel van, and the engagement that is anticipated with the Driver and Vehicle Standards Agency (“DVSA”). This letter, together with our enclosed standard Terms of Business, sets out the basis on which we will act.</w:t>
      </w:r>
    </w:p>
    <w:p>
      <w:pPr>
        <w:pStyle w:val="Heading2"/>
      </w:pPr>
      <w:r>
        <w:t xml:space="preserve">1. Scope of work</w:t>
      </w:r>
    </w:p>
    <w:p>
      <w:pPr>
        <w:spacing w:after="120" w:line="276"/>
      </w:pPr>
      <w:r>
        <w:t xml:space="preserve">Our instructions are to advise Calderwell Mobility Limited (the “Company”) on its obligations under the General Product Safety Regulations 2005 and the GB vehicle safety recall regime administered by the DVSA Vehicle Safety Branch, and in particular to:</w:t>
      </w:r>
    </w:p>
    <w:p>
      <w:pPr>
        <w:pStyle w:val="ListParagraph"/>
        <w:numPr>
          <w:ilvl w:val="0"/>
          <w:numId w:val="2"/>
        </w:numPr>
        <w:spacing w:after="100" w:line="276"/>
      </w:pPr>
      <w:r>
        <w:t xml:space="preserve">review the Company’s internal engineering findings and advise whether the matter is a “safety-related defect” requiring notification to the DVSA;</w:t>
      </w:r>
    </w:p>
    <w:p>
      <w:pPr>
        <w:pStyle w:val="ListParagraph"/>
        <w:numPr>
          <w:ilvl w:val="0"/>
          <w:numId w:val="2"/>
        </w:numPr>
        <w:spacing w:after="100" w:line="276"/>
      </w:pPr>
      <w:r>
        <w:t xml:space="preserve">prepare and settle the Company’s notification to the DVSA and manage subsequent correspondence with the Vehicle Safety Branch;</w:t>
      </w:r>
    </w:p>
    <w:p>
      <w:pPr>
        <w:pStyle w:val="ListParagraph"/>
        <w:numPr>
          <w:ilvl w:val="0"/>
          <w:numId w:val="2"/>
        </w:numPr>
        <w:spacing w:after="100" w:line="276"/>
      </w:pPr>
      <w:r>
        <w:t xml:space="preserve">advise on, and settle, a voluntary safety recall action plan, customer notification materials and the associated record-keeping;</w:t>
      </w:r>
    </w:p>
    <w:p>
      <w:pPr>
        <w:pStyle w:val="ListParagraph"/>
        <w:numPr>
          <w:ilvl w:val="0"/>
          <w:numId w:val="2"/>
        </w:numPr>
        <w:spacing w:after="100" w:line="276"/>
      </w:pPr>
      <w:r>
        <w:t xml:space="preserve">advise the board on the Company’s potential regulatory and civil liability exposure and on directors’ duties in connection with the recall; and</w:t>
      </w:r>
    </w:p>
    <w:p>
      <w:pPr>
        <w:pStyle w:val="ListParagraph"/>
        <w:numPr>
          <w:ilvl w:val="0"/>
          <w:numId w:val="2"/>
        </w:numPr>
        <w:spacing w:after="100" w:line="276"/>
      </w:pPr>
      <w:r>
        <w:t xml:space="preserve">advise on related contractual and insurance recovery questions as they arise.</w:t>
      </w:r>
    </w:p>
    <w:p>
      <w:pPr>
        <w:spacing w:after="120" w:line="276"/>
      </w:pPr>
      <w:r>
        <w:t xml:space="preserve">Our retainer does not at this stage extend to any criminal defence work, product liability litigation, or representation at any inquest, each of which would be the subject of a separate engagement.</w:t>
      </w:r>
    </w:p>
    <w:p>
      <w:pPr>
        <w:pStyle w:val="Heading2"/>
      </w:pPr>
      <w:r>
        <w:t xml:space="preserve">2. Your team</w:t>
      </w:r>
    </w:p>
    <w:p>
      <w:pPr>
        <w:spacing w:after="120" w:line="276"/>
      </w:pPr>
      <w:r>
        <w:t xml:space="preserve">The partner with overall responsibility for this matter is Sarah Whitfield. The matter will be handled day to day by Tom Gallagher (Associate), supported by Elena Marchetti (Associate). You may contact any member of the team at any time; their direct details are set out in the enclosure.</w:t>
      </w:r>
    </w:p>
    <w:p>
      <w:pPr>
        <w:pStyle w:val="Heading2"/>
      </w:pPr>
      <w:r>
        <w:t xml:space="preserve">3. Fees and estimate</w:t>
      </w:r>
    </w:p>
    <w:p>
      <w:pPr>
        <w:spacing w:after="120" w:line="276"/>
      </w:pPr>
      <w:r>
        <w:t xml:space="preserve">Our fees are charged on a time-spent basis at the hourly rates set out in the enclosed schedule (Sarah Whitfield £760; Tom Gallagher £445; Elena Marchetti £320, each plus VAT). Given the developing nature of the matter we are unable to provide a fixed fee, but our current estimate for advising on the notification and the initial recall action plan, up to and including the Company’s first substantive response to the DVSA, is in the range of £45,000 to £60,000 plus VAT and disbursements. We will keep this estimate under review and notify you promptly if it is likely to be exceeded.</w:t>
      </w:r>
    </w:p>
    <w:p>
      <w:pPr>
        <w:pStyle w:val="Heading2"/>
      </w:pPr>
      <w:r>
        <w:t xml:space="preserve">4. Privilege and confidentiality</w:t>
      </w:r>
    </w:p>
    <w:p>
      <w:pPr>
        <w:spacing w:after="120" w:line="276"/>
      </w:pPr>
      <w:r>
        <w:t xml:space="preserve">Given the regulatory and potential litigation dimensions of this matter, we recommend that engineering and investigatory work be channelled through this firm so far as practicable in order to maximise the prospects of legal advice privilege and litigation privilege attaching. We will advise separately on document handling and on the conduct of any internal investigation. Please mark relevant materials “Privileged and confidential – prepared for the purpose of obtaining legal advice” and limit circulation.</w:t>
      </w:r>
    </w:p>
    <w:p>
      <w:pPr>
        <w:pStyle w:val="Heading2"/>
      </w:pPr>
      <w:r>
        <w:t xml:space="preserve">5. Regulatory and reporting deadlines</w:t>
      </w:r>
    </w:p>
    <w:p>
      <w:pPr>
        <w:spacing w:after="120" w:line="276"/>
      </w:pPr>
      <w:r>
        <w:t xml:space="preserve">You should be aware that, where a manufacturer identifies a safety-related defect, the DVSA expects prompt notification – ordinarily within a matter of days of the manufacturer concluding that a defect is safety-related. We will work to that timescale and will advise you on the precise trigger for the duty to notify once the engineering position is settled.</w:t>
      </w:r>
    </w:p>
    <w:p>
      <w:pPr>
        <w:pStyle w:val="Heading2"/>
      </w:pPr>
      <w:r>
        <w:t xml:space="preserve">6. Acceptance</w:t>
      </w:r>
    </w:p>
    <w:p>
      <w:pPr>
        <w:spacing w:after="120" w:line="276"/>
      </w:pPr>
      <w:r>
        <w:t xml:space="preserve">We are grateful for the opportunity to assist Calderwell Mobility on this important matter. Please confirm your agreement to these terms by signing and returning the enclosed copy of this letter. In the meantime, and to avoid any delay given the safety dimension, we have begun work on the basis set out above.</w:t>
      </w:r>
    </w:p>
    <w:p>
      <w:pPr>
        <w:spacing w:after="200" w:line="276"/>
      </w:pPr>
      <w:r>
        <w:t xml:space="preserve">Yours sincerely</w:t>
      </w:r>
    </w:p>
    <w:p>
      <w:pPr>
        <w:spacing w:after="120" w:line="276"/>
      </w:pPr>
      <w:r>
        <w:t xml:space="preserve"> </w:t>
      </w:r>
    </w:p>
    <w:p>
      <w:pPr>
        <w:spacing w:after="40"/>
      </w:pPr>
      <w:r>
        <w:rPr>
          <w:sz w:val="22"/>
          <w:szCs w:val="22"/>
        </w:rPr>
        <w:t xml:space="preserve">_______________________________</w:t>
      </w:r>
    </w:p>
    <w:p>
      <w:pPr>
        <w:spacing w:after="20" w:line="276"/>
      </w:pPr>
      <w:r>
        <w:rPr>
          <w:b/>
          <w:bCs/>
        </w:rPr>
        <w:t xml:space="preserve">Sarah Whitfield</w:t>
      </w:r>
    </w:p>
    <w:p>
      <w:pPr>
        <w:spacing w:after="120" w:line="276"/>
      </w:pPr>
      <w:r>
        <w:rPr>
          <w:i/>
          <w:iCs/>
          <w:sz w:val="20"/>
          <w:szCs w:val="20"/>
        </w:rPr>
        <w:t xml:space="preserve">Partner, for and on behalf of Whitfield Carter LLP</w:t>
      </w:r>
    </w:p>
    <w:p>
      <w:pPr>
        <w:spacing w:after="120" w:line="276"/>
      </w:pPr>
      <w:r>
        <w:t xml:space="preserve"> </w:t>
      </w:r>
    </w:p>
    <w:p>
      <w:pPr>
        <w:spacing w:after="120" w:line="276"/>
      </w:pPr>
      <w:r>
        <w:rPr>
          <w:i/>
          <w:iCs/>
          <w:sz w:val="18"/>
          <w:szCs w:val="18"/>
        </w:rPr>
        <w:t xml:space="preserve">Enc: Terms of Business; Schedule of hourly rates; Team contact sheet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9026"/>
      </w:tabs>
    </w:pPr>
    <w:r>
      <w:rPr>
        <w:color w:val="777777"/>
        <w:sz w:val="14"/>
        <w:szCs w:val="14"/>
      </w:rPr>
      <w:t xml:space="preserve">Confidential and may be legally privileged.</w:t>
    </w:r>
    <w:r>
      <w:rPr>
        <w:color w:val="777777"/>
        <w:sz w:val="14"/>
        <w:szCs w:val="14"/>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6"/>
        <w:szCs w:val="26"/>
      </w:rPr>
      <w:t xml:space="preserve">WHITFIELD CARTER LLP</w:t>
    </w:r>
  </w:p>
  <w:p>
    <w:pPr>
      <w:pBdr>
        <w:bottom w:val="single" w:color="2E4A6B" w:sz="6" w:space="6"/>
      </w:pBdr>
      <w:spacing w:after="240"/>
    </w:pPr>
    <w:r>
      <w:rPr>
        <w:color w:val="555555"/>
        <w:sz w:val="16"/>
        <w:szCs w:val="16"/>
      </w:rPr>
      <w:t xml:space="preserve">22 Bishopsgate, London EC2N 4BQ  ·  +44 (0)20 7946 0000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2026-06-29T20:27:36.432Z</dcterms:created>
  <dcterms:modified xsi:type="dcterms:W3CDTF">2026-06-29T20:27:36.433Z</dcterms:modified>
</cp:coreProperties>
</file>

<file path=docProps/custom.xml><?xml version="1.0" encoding="utf-8"?>
<Properties xmlns="http://schemas.openxmlformats.org/officeDocument/2006/custom-properties" xmlns:vt="http://schemas.openxmlformats.org/officeDocument/2006/docPropsVTypes"/>
</file>