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</w:pPr>
      <w:r>
        <w:rPr>
          <w:b/>
          <w:bCs/>
          <w:sz w:val="18"/>
          <w:szCs w:val="18"/>
        </w:rPr>
        <w:t xml:space="preserve">PRIVILEGED AND CONFIDENTIAL</w:t>
      </w:r>
    </w:p>
    <w:p>
      <w:pPr>
        <w:spacing w:after="20" w:line="276"/>
      </w:pPr>
      <w:r>
        <w:rPr>
          <w:b/>
          <w:bCs/>
          <w:sz w:val="26"/>
          <w:szCs w:val="26"/>
        </w:rPr>
        <w:t xml:space="preserve">FACTUAL STATEMENT OF IAN FORSYTHE</w:t>
      </w:r>
    </w:p>
    <w:p>
      <w:pPr>
        <w:spacing w:after="200" w:line="276"/>
      </w:pPr>
      <w:r>
        <w:rPr>
          <w:i/>
          <w:iCs/>
          <w:sz w:val="20"/>
          <w:szCs w:val="20"/>
        </w:rPr>
        <w:t xml:space="preserve">Field Quality Manager, Calderwell Mobility Limited</w:t>
      </w:r>
    </w:p>
    <w:p>
      <w:pPr>
        <w:spacing w:after="120" w:line="276"/>
      </w:pPr>
      <w:r>
        <w:t xml:space="preserve">I, Ian Forsythe, of Calderwell Mobility Limited, Pioneer House, Trafford Park, Manchester M17 1WA, WILL SAY as follows.</w:t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1.1  I am the Field Quality Manager of Calderwell Mobility Limited. I have held that role since January 2023. I am responsible for the triage and investigation of field-quality reports received from our dealer and fleet network. I make this statement from my own knowledge and from the Company’s records, to assist the Company’s legal advisers in connection with the CV-7 braking matter. The facts are true to the best of my knowledge and belief.</w:t>
      </w:r>
    </w:p>
    <w:p>
      <w:pPr>
        <w:pStyle w:val="Heading1"/>
      </w:pPr>
      <w:r>
        <w:t xml:space="preserve">2. Receipt of the first reports</w:t>
      </w:r>
    </w:p>
    <w:p>
      <w:pPr>
        <w:spacing w:after="120" w:line="276"/>
      </w:pPr>
      <w:r>
        <w:t xml:space="preserve">2.1  On 3 September 2025 a report was logged through the dealer portal concerning vehicle registration CV24 KLM, describing the braking as having “felt soft” on a wet roundabout. Under our triage taxonomy as it then stood, a report of that wording was coded as a comfort/feel complaint rather than a safety complaint. On 11 September 2025 two further reports of a similar nature were received and I opened field investigation FQ-2025-241.</w:t>
      </w:r>
    </w:p>
    <w:p>
      <w:pPr>
        <w:spacing w:after="120" w:line="276"/>
      </w:pPr>
      <w:r>
        <w:t xml:space="preserve">2.2  With hindsight, the original coding of the first report meant that the common pattern across the three vehicles was not recognised as quickly as it should have been. I have since revised our triage rules so that any complaint touching on braking or deceleration is automatically escalated to Vehicle Safety, regardless of the words used.</w:t>
      </w:r>
    </w:p>
    <w:p>
      <w:pPr>
        <w:pStyle w:val="Heading1"/>
      </w:pPr>
      <w:r>
        <w:t xml:space="preserve">3. Identification of the common factor</w:t>
      </w:r>
    </w:p>
    <w:p>
      <w:pPr>
        <w:spacing w:after="120" w:line="276"/>
      </w:pPr>
      <w:r>
        <w:t xml:space="preserve">3.1  On 18 September 2025, having pulled the telematics for the three vehicles, our engineers identified a common event signature in the brake-blend transition. On 24 September 2025 the behaviour was reproduced on the test track in wet, low-grip conditions, and on 26 September 2025 the BCM software build 4.2.x was identified as the common factor. Production of vehicles on that build was paused the same day.</w:t>
      </w:r>
    </w:p>
    <w:p>
      <w:pPr>
        <w:pStyle w:val="Heading1"/>
      </w:pPr>
      <w:r>
        <w:t xml:space="preserve">4. Field reports to date</w:t>
      </w:r>
    </w:p>
    <w:p>
      <w:pPr>
        <w:spacing w:after="120" w:line="276"/>
      </w:pPr>
      <w:r>
        <w:t xml:space="preserve">4.1  As at the date of this statement, eight reports have been logged that are consistent with the defect. I am not aware of any collision, injury or damage to property arising from any of them. Each affected vehicle and its keeper has been recorded for the purposes of the recall.</w:t>
      </w:r>
    </w:p>
    <w:p>
      <w:pPr>
        <w:pStyle w:val="Heading1"/>
      </w:pPr>
      <w:r>
        <w:t xml:space="preserve">5. The recall</w:t>
      </w:r>
    </w:p>
    <w:p>
      <w:pPr>
        <w:spacing w:after="120" w:line="276"/>
      </w:pPr>
      <w:r>
        <w:t xml:space="preserve">5.1  I am responsible, with my team, for the customer-notification element of the recall. We have prepared the notification letter and the helpline, and we are working with the account managers to schedule deployment for the larger fleets first. I will maintain the recall register and report completion figures to the taskforce each week.</w:t>
      </w:r>
    </w:p>
    <w:p>
      <w:pPr>
        <w:spacing w:after="120" w:line="276"/>
      </w:pPr>
      <w:r>
        <w:t xml:space="preserve"> </w:t>
      </w:r>
    </w:p>
    <w:p>
      <w:pPr>
        <w:spacing w:after="20" w:line="276"/>
      </w:pPr>
      <w:r>
        <w:t xml:space="preserve">Signed: ……………………………………</w:t>
      </w:r>
    </w:p>
    <w:p>
      <w:pPr>
        <w:spacing w:after="20" w:line="276"/>
      </w:pPr>
      <w:r>
        <w:rPr>
          <w:b/>
          <w:bCs/>
        </w:rPr>
        <w:t xml:space="preserve">Ian Forsythe</w:t>
      </w:r>
    </w:p>
    <w:p>
      <w:pPr>
        <w:spacing w:after="120" w:line="276"/>
      </w:pPr>
      <w:r>
        <w:rPr>
          <w:i/>
          <w:iCs/>
        </w:rPr>
        <w:t xml:space="preserve">Dated: 20 October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</w:pPr>
    <w:r>
      <w:rPr>
        <w:color w:val="777777"/>
        <w:sz w:val="14"/>
        <w:szCs w:val="14"/>
      </w:rPr>
      <w:t xml:space="preserve">WC-00198 — Factual Statement (I. Forsythe)  ·  Confidential and may be legally privileged.</w:t>
    </w:r>
    <w:r>
      <w:rPr>
        <w:color w:val="777777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6"/>
        <w:szCs w:val="26"/>
      </w:rPr>
      <w:t xml:space="preserve">WHITFIELD CARTER LLP</w:t>
    </w:r>
  </w:p>
  <w:p>
    <w:pPr>
      <w:pBdr>
        <w:bottom w:val="single" w:color="2E4A6B" w:sz="6" w:space="6"/>
      </w:pBdr>
      <w:spacing w:after="240"/>
    </w:pPr>
    <w:r>
      <w:rPr>
        <w:color w:val="555555"/>
        <w:sz w:val="16"/>
        <w:szCs w:val="16"/>
      </w:rPr>
      <w:t xml:space="preserve">22 Bishopsgate, London EC2N 4BQ  ·  +44 (0)20 7946 0000  ·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08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2026-06-29T20:32:06.061Z</dcterms:created>
  <dcterms:modified xsi:type="dcterms:W3CDTF">2026-06-29T20:32:06.061Z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