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pPr>
      <w:r>
        <w:rPr>
          <w:b/>
          <w:bCs/>
        </w:rPr>
        <w:t xml:space="preserve">PRIVILEGED AND CONFIDENTIAL</w:t>
      </w:r>
    </w:p>
    <w:p>
      <w:pPr>
        <w:spacing w:after="200" w:line="276"/>
      </w:pPr>
      <w:r>
        <w:rPr>
          <w:i/>
          <w:iCs/>
          <w:sz w:val="18"/>
          <w:szCs w:val="18"/>
        </w:rPr>
        <w:t xml:space="preserve">Prepared by Whitfield Carter LLP for the purpose of providing legal advice to Calderwell Mobility Limited</w:t>
      </w:r>
    </w:p>
    <w:p>
      <w:pPr>
        <w:spacing w:after="60" w:line="276"/>
      </w:pPr>
      <w:r>
        <w:rPr>
          <w:b/>
          <w:bCs/>
          <w:sz w:val="32"/>
          <w:szCs w:val="32"/>
        </w:rPr>
        <w:t xml:space="preserve">INTERNAL INVESTIGATION REPORT</w:t>
      </w:r>
    </w:p>
    <w:p>
      <w:pPr>
        <w:spacing w:after="200" w:line="276"/>
      </w:pPr>
      <w:r>
        <w:rPr>
          <w:b/>
          <w:bCs/>
          <w:sz w:val="24"/>
          <w:szCs w:val="24"/>
        </w:rPr>
        <w:t xml:space="preserve">CV-7 Regenerative Braking Control – Suspected Safety-Related Defect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Matter</w:t>
            </w:r>
          </w:p>
        </w:tc>
        <w:tc>
          <w:tcPr>
            <w:tcW w:type="dxa" w:w="6426"/>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Client</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Calderwell Mobility Limited</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Our reference</w:t>
            </w:r>
          </w:p>
        </w:tc>
        <w:tc>
          <w:tcPr>
            <w:tcW w:type="dxa" w:w="64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WC-00198 / SW / TG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Date of report</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13 October 2025</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Prepared by</w:t>
            </w:r>
          </w:p>
        </w:tc>
        <w:tc>
          <w:tcPr>
            <w:tcW w:type="dxa" w:w="64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Tom Gallagher (Associate); reviewed by Sarah Whitfield (Partner)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Status</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Draft for the Board – privileged and confidential</w:t>
            </w:r>
          </w:p>
        </w:tc>
      </w:tr>
    </w:tbl>
    <w:p>
      <w:pPr>
        <w:spacing w:after="120" w:line="276"/>
      </w:pPr>
      <w:r>
        <w:t xml:space="preserve"> </w:t>
      </w:r>
    </w:p>
    <w:p>
      <w:pPr>
        <w:pStyle w:val="Heading1"/>
      </w:pPr>
      <w:r>
        <w:t xml:space="preserve">1. Executive summary</w:t>
      </w:r>
    </w:p>
    <w:p>
      <w:pPr>
        <w:spacing w:after="120" w:line="276"/>
      </w:pPr>
      <w:r>
        <w:t xml:space="preserve">1.1  This report records the findings of the investigation conducted by Whitfield Carter LLP, with the assistance of the Company’s engineering function, into a suspected safety-related defect affecting the regenerative braking control software fitted to the Calderwell CV-7 electric panel van.</w:t>
      </w:r>
    </w:p>
    <w:p>
      <w:pPr>
        <w:spacing w:after="120" w:line="276"/>
      </w:pPr>
      <w:r>
        <w:t xml:space="preserve">1.2  The CV-7 uses a brake-blending strategy in which the friction (hydraulic) brakes and the regenerative (motor) braking are blended by the Brake Control Module (“BCM”) running firmware build BCM-FW 4.2.x. Field reports and subsequent bench testing indicate that, under a narrow but reproducible combination of conditions — low surface friction (μ ≤ 0.3, e.g. wet or icy roads) together with a rapid increase in driver brake demand from light to heavy — the BCM can momentarily under-apply total braking force during the hand-over (“blend transition”) from regenerative to friction braking. The effect is a transient (typically 300–600 ms) reduction in deceleration before the friction brakes take full effect.</w:t>
      </w:r>
    </w:p>
    <w:p>
      <w:pPr>
        <w:spacing w:after="120" w:line="276"/>
      </w:pPr>
      <w:r>
        <w:t xml:space="preserve">1.3  The defect does not cause a total loss of braking; the friction brakes always remain available and ABS function is unaffected. However, the transient under-application increases stopping distance in the affected scenarios and, in our assessment and that of the engineering team, is capable of contributing to a collision. On that basis the matter should be treated as a safety-related defect for the purposes of the GB recall regime.</w:t>
      </w:r>
    </w:p>
    <w:p>
      <w:pPr>
        <w:spacing w:after="120" w:line="276"/>
      </w:pPr>
      <w:r>
        <w:t xml:space="preserve">1.4  The affected population is 2,140 CV-7 vehicles fitted with BCM-FW build 4.2.0 to 4.2.3, produced between 1 March 2024 and 26 September 2025. A corrective firmware build (4.3.0) has been developed and validated by the engineering team. We recommend (a) immediate notification to the DVSA Vehicle Safety Branch, and (b) a voluntary safety recall to deploy build 4.3.0 across the affected fleet.</w:t>
      </w:r>
    </w:p>
    <w:p>
      <w:pPr>
        <w:pStyle w:val="Heading1"/>
      </w:pPr>
      <w:r>
        <w:t xml:space="preserve">2. Scope and methodology</w:t>
      </w:r>
    </w:p>
    <w:p>
      <w:pPr>
        <w:spacing w:after="120" w:line="276"/>
      </w:pPr>
      <w:r>
        <w:t xml:space="preserve">2.1  This investigation was commissioned by the Board on 7 October 2025 and conducted under legal privilege. We reviewed the field-incident log, telematics records, the BCM software change history, the engineering root-cause analysis, supplier (Tier-1) test reports and relevant internal correspondence, and interviewed the following individuals:</w:t>
      </w:r>
    </w:p>
    <w:p>
      <w:pPr>
        <w:pStyle w:val="ListParagraph"/>
        <w:numPr>
          <w:ilvl w:val="0"/>
          <w:numId w:val="2"/>
        </w:numPr>
        <w:spacing w:after="100" w:line="276"/>
      </w:pPr>
      <w:r>
        <w:t xml:space="preserve">Sophie Lindqvist, Chief Technology Officer;</w:t>
      </w:r>
    </w:p>
    <w:p>
      <w:pPr>
        <w:pStyle w:val="ListParagraph"/>
        <w:numPr>
          <w:ilvl w:val="0"/>
          <w:numId w:val="2"/>
        </w:numPr>
        <w:spacing w:after="100" w:line="276"/>
      </w:pPr>
      <w:r>
        <w:t xml:space="preserve">Raj Mehta, Head of Vehicle Safety &amp; Homologation;</w:t>
      </w:r>
    </w:p>
    <w:p>
      <w:pPr>
        <w:pStyle w:val="ListParagraph"/>
        <w:numPr>
          <w:ilvl w:val="0"/>
          <w:numId w:val="2"/>
        </w:numPr>
        <w:spacing w:after="100" w:line="276"/>
      </w:pPr>
      <w:r>
        <w:t xml:space="preserve">Caroline Stubbs, BCM Software Lead;</w:t>
      </w:r>
    </w:p>
    <w:p>
      <w:pPr>
        <w:pStyle w:val="ListParagraph"/>
        <w:numPr>
          <w:ilvl w:val="0"/>
          <w:numId w:val="2"/>
        </w:numPr>
        <w:spacing w:after="100" w:line="276"/>
      </w:pPr>
      <w:r>
        <w:t xml:space="preserve">Ian Forsythe, Field Quality Manager.</w:t>
      </w:r>
    </w:p>
    <w:p>
      <w:pPr>
        <w:spacing w:after="120" w:line="276"/>
      </w:pPr>
      <w:r>
        <w:t xml:space="preserve">2.2  All factual statements in this report are based on the documents reviewed and the interviews conducted. Where engineering conclusions are recorded they are those of the Company’s engineering function, on which we are entitled to and do rely.</w:t>
      </w:r>
    </w:p>
    <w:p>
      <w:pPr>
        <w:pStyle w:val="Heading1"/>
      </w:pPr>
      <w:r>
        <w:t xml:space="preserve">3. Chronology of discovery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Date</w:t>
            </w:r>
          </w:p>
        </w:tc>
        <w:tc>
          <w:tcPr>
            <w:tcW w:type="dxa" w:w="7326"/>
            <w:tcBorders>
              <w:top w:val="single" w:color="BBBBBB" w:sz="1"/>
              <w:left w:val="single" w:color="BBBBBB" w:sz="1"/>
              <w:bottom w:val="single" w:color="BBBBBB" w:sz="1"/>
              <w:right w:val="single" w:color="BBBBBB" w:sz="1"/>
            </w:tcBorders>
            <w:shd w:fill="2E4A6B" w:val="clear"/>
            <w:tcMar>
              <w:top w:type="dxa" w:w="60"/>
              <w:left w:type="dxa" w:w="100"/>
              <w:bottom w:type="dxa" w:w="60"/>
              <w:right w:type="dxa" w:w="100"/>
            </w:tcMar>
          </w:tcPr>
          <w:p>
            <w:r>
              <w:rPr>
                <w:b/>
                <w:bCs/>
                <w:color w:val="FFFFFF"/>
                <w:sz w:val="19"/>
                <w:szCs w:val="19"/>
              </w:rPr>
              <w:t xml:space="preserve">Event</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 Sept 2025</w:t>
            </w:r>
          </w:p>
        </w:tc>
        <w:tc>
          <w:tcPr>
            <w:tcW w:type="dxa" w:w="7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First field report (vehicle reg. CV24 KLM) of “braking felt soft on wet roundabout” logged via dealer network. Coded as comfort complaint.</w:t>
            </w:r>
          </w:p>
        </w:tc>
      </w:tr>
      <w:tr>
        <w:tc>
          <w:tcPr>
            <w:tcW w:type="dxa" w:w="17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11 Sept 2025</w:t>
            </w:r>
          </w:p>
        </w:tc>
        <w:tc>
          <w:tcPr>
            <w:tcW w:type="dxa" w:w="73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Second and third reports received; Field Quality opens investigation FQ-2025-241.</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18 Sept 2025</w:t>
            </w:r>
          </w:p>
        </w:tc>
        <w:tc>
          <w:tcPr>
            <w:tcW w:type="dxa" w:w="7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Telematics review identifies common BCM blend-transition event signature across all three vehicles.</w:t>
            </w:r>
          </w:p>
        </w:tc>
      </w:tr>
      <w:tr>
        <w:tc>
          <w:tcPr>
            <w:tcW w:type="dxa" w:w="17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24 Sept 2025</w:t>
            </w:r>
          </w:p>
        </w:tc>
        <w:tc>
          <w:tcPr>
            <w:tcW w:type="dxa" w:w="73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Engineering reproduces the under-application on the test track at MIRA under wet, low-μ conditions.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26 Sept 2025</w:t>
            </w:r>
          </w:p>
        </w:tc>
        <w:tc>
          <w:tcPr>
            <w:tcW w:type="dxa" w:w="7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BCM build 4.2.x identified as common factor; production of further 4.2.x units paused.</w:t>
            </w:r>
          </w:p>
        </w:tc>
      </w:tr>
      <w:tr>
        <w:tc>
          <w:tcPr>
            <w:tcW w:type="dxa" w:w="17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1 Oct 2025</w:t>
            </w:r>
          </w:p>
        </w:tc>
        <w:tc>
          <w:tcPr>
            <w:tcW w:type="dxa" w:w="73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Root-cause confirmed (torque-blending look-up table boundary error). Eight field reports now logged.</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7 Oct 2025</w:t>
            </w:r>
          </w:p>
        </w:tc>
        <w:tc>
          <w:tcPr>
            <w:tcW w:type="dxa" w:w="7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Board convenes; Whitfield Carter instructed; this investigation commissioned.</w:t>
            </w:r>
          </w:p>
        </w:tc>
      </w:tr>
      <w:tr>
        <w:tc>
          <w:tcPr>
            <w:tcW w:type="dxa" w:w="1700"/>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10 Oct 2025</w:t>
            </w:r>
          </w:p>
        </w:tc>
        <w:tc>
          <w:tcPr>
            <w:tcW w:type="dxa" w:w="7326"/>
            <w:tcBorders>
              <w:top w:val="single" w:color="BBBBBB" w:sz="1"/>
              <w:left w:val="single" w:color="BBBBBB" w:sz="1"/>
              <w:bottom w:val="single" w:color="BBBBBB" w:sz="1"/>
              <w:right w:val="single" w:color="BBBBBB" w:sz="1"/>
            </w:tcBorders>
            <w:shd w:fill="F2F5F8" w:val="clear"/>
            <w:tcMar>
              <w:top w:type="dxa" w:w="60"/>
              <w:left w:type="dxa" w:w="100"/>
              <w:bottom w:type="dxa" w:w="60"/>
              <w:right w:type="dxa" w:w="100"/>
            </w:tcMar>
          </w:tcPr>
          <w:p>
            <w:r>
              <w:rPr>
                <w:sz w:val="19"/>
                <w:szCs w:val="19"/>
              </w:rPr>
              <w:t xml:space="preserve">Corrective build 4.3.0 completed; validation testing commenced.</w:t>
            </w:r>
          </w:p>
        </w:tc>
      </w:tr>
    </w:tbl>
    <w:p>
      <w:pPr>
        <w:pStyle w:val="Heading1"/>
      </w:pPr>
      <w:r>
        <w:t xml:space="preserve">4. Technical findings (root cause)</w:t>
      </w:r>
    </w:p>
    <w:p>
      <w:pPr>
        <w:spacing w:after="120" w:line="276"/>
      </w:pPr>
      <w:r>
        <w:t xml:space="preserve">4.1  The BCM apportions total commanded deceleration between regenerative and friction braking using a two-dimensional look-up table indexed by estimated surface friction and rate-of-change of brake demand. The engineering root-cause analysis (see the separate Defect Root-Cause Report) concludes that a boundary-condition error in this table causes the BCM, in the specific low-μ / high-jerk cell, to command a reduction in regenerative torque without a correctly time-aligned ramp-up of friction-brake pressure. The result is a short window in which neither braking source is delivering the full commanded force.</w:t>
      </w:r>
    </w:p>
    <w:p>
      <w:pPr>
        <w:spacing w:after="120" w:line="276"/>
      </w:pPr>
      <w:r>
        <w:t xml:space="preserve">4.2  The error was introduced in build 4.2.0 (released to production 14 February 2024) when the blending table was re-calibrated to improve energy recovery. The boundary cell was not exercised by the regression test suite then in use because the suite did not include a combined low-μ / rapid-demand manoeuvre. This testing gap has itself been treated as a finding (see section 6).</w:t>
      </w:r>
    </w:p>
    <w:p>
      <w:pPr>
        <w:pStyle w:val="Heading1"/>
      </w:pPr>
      <w:r>
        <w:t xml:space="preserve">5. Affected population and exposure</w:t>
      </w:r>
    </w:p>
    <w:p>
      <w:pPr>
        <w:spacing w:after="120" w:line="276"/>
      </w:pPr>
      <w:r>
        <w:t xml:space="preserve">5.1  The affected population is 2,140 vehicles, comprising all CV-7 units delivered with BCM-FW 4.2.0–4.2.3. Of these, 1,860 are in service with fleet customers and 280 remain in dealer or Company stock. The largest single fleet exposure is to Brookmere Logistics (412 vehicles) and to the Company’s own demonstrator fleet (54 vehicles).</w:t>
      </w:r>
    </w:p>
    <w:p>
      <w:pPr>
        <w:spacing w:after="120" w:line="276"/>
      </w:pPr>
      <w:r>
        <w:t xml:space="preserve">5.2  As at the date of this report, eight field reports have been logged; no collision, injury or property damage has been attributed to the defect. We have nonetheless concluded that the defect is safety-related, because the GB regime turns on whether a defect is capable of contributing to a safety risk, not on whether harm has yet occurred.</w:t>
      </w:r>
    </w:p>
    <w:p>
      <w:pPr>
        <w:pStyle w:val="Heading1"/>
      </w:pPr>
      <w:r>
        <w:t xml:space="preserve">6. Other findings</w:t>
      </w:r>
    </w:p>
    <w:p>
      <w:pPr>
        <w:pStyle w:val="ListParagraph"/>
        <w:numPr>
          <w:ilvl w:val="0"/>
          <w:numId w:val="3"/>
        </w:numPr>
        <w:spacing w:after="100" w:line="276"/>
      </w:pPr>
      <w:r>
        <w:t xml:space="preserve">The original dealer coding of the first three reports as “comfort” complaints delayed escalation by approximately one week. The Company’s field-triage taxonomy should be revised so that any deceleration-related complaint is auto-escalated to Vehicle Safety.</w:t>
      </w:r>
    </w:p>
    <w:p>
      <w:pPr>
        <w:pStyle w:val="ListParagraph"/>
        <w:numPr>
          <w:ilvl w:val="0"/>
          <w:numId w:val="3"/>
        </w:numPr>
        <w:spacing w:after="100" w:line="276"/>
      </w:pPr>
      <w:r>
        <w:t xml:space="preserve">The BCM regression test suite did not include combined low-μ / high-jerk manoeuvres. The suite has been extended; this should be confirmed as part of the remediation.</w:t>
      </w:r>
    </w:p>
    <w:p>
      <w:pPr>
        <w:pStyle w:val="ListParagraph"/>
        <w:numPr>
          <w:ilvl w:val="0"/>
          <w:numId w:val="3"/>
        </w:numPr>
        <w:spacing w:after="100" w:line="276"/>
      </w:pPr>
      <w:r>
        <w:t xml:space="preserve">Production of 4.2.x units was paused on 26 September 2025. No vehicle has left the factory on an affected build since that date.</w:t>
      </w:r>
    </w:p>
    <w:p>
      <w:pPr>
        <w:pStyle w:val="Heading1"/>
      </w:pPr>
      <w:r>
        <w:t xml:space="preserve">7. Legal analysis and recommendation</w:t>
      </w:r>
    </w:p>
    <w:p>
      <w:pPr>
        <w:spacing w:after="120" w:line="276"/>
      </w:pPr>
      <w:r>
        <w:t xml:space="preserve">7.1  In our view the matter is a safety-related defect requiring notification to the DVSA. The duty to notify crystallised, at the latest, on 1 October 2025 when root cause was confirmed and the safety-related character of the defect became clear. We therefore recommend notification without further delay; a notification has been prepared for the Board’s approval.</w:t>
      </w:r>
    </w:p>
    <w:p>
      <w:pPr>
        <w:spacing w:after="120" w:line="276"/>
      </w:pPr>
      <w:r>
        <w:t xml:space="preserve">7.2  We recommend a voluntary safety recall (rather than awaiting any DVSA-directed action), deploying corrective build 4.3.0. A voluntary, proactive recall managed in cooperation with the DVSA materially improves the Company’s regulatory position and is consistent with the directors’ duties. Our advice on liability and regulatory exposure is set out in the separate Advice Note.</w:t>
      </w:r>
    </w:p>
    <w:p>
      <w:pPr>
        <w:spacing w:after="120" w:line="276"/>
      </w:pPr>
      <w:r>
        <w:t xml:space="preserve">7.3  Pending deployment, we recommend the Company issue immediate written safety guidance to all fleet operators of affected vehicles (covered in the customer notification pack), and prioritise the largest fleets and any vehicles operating in the current (winter) period.</w:t>
      </w:r>
    </w:p>
    <w:p>
      <w:pPr>
        <w:spacing w:after="120" w:line="276"/>
      </w:pPr>
      <w:r>
        <w:t xml:space="preserve"> </w:t>
      </w:r>
    </w:p>
    <w:p>
      <w:pPr>
        <w:spacing w:after="40"/>
      </w:pPr>
      <w:r>
        <w:rPr>
          <w:sz w:val="22"/>
          <w:szCs w:val="22"/>
        </w:rPr>
        <w:t xml:space="preserve">_______________________________</w:t>
      </w:r>
    </w:p>
    <w:p>
      <w:pPr>
        <w:spacing w:after="20" w:line="276"/>
      </w:pPr>
      <w:r>
        <w:rPr>
          <w:b/>
          <w:bCs/>
        </w:rPr>
        <w:t xml:space="preserve">Tom Gallagher</w:t>
      </w:r>
    </w:p>
    <w:p>
      <w:pPr>
        <w:spacing w:after="120" w:line="276"/>
      </w:pPr>
      <w:r>
        <w:rPr>
          <w:i/>
          <w:iCs/>
          <w:sz w:val="20"/>
          <w:szCs w:val="20"/>
        </w:rPr>
        <w:t xml:space="preserve">Associate, Whitfield Carter LLP — for and on behalf of the firm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pPr>
    <w:r>
      <w:rPr>
        <w:color w:val="777777"/>
        <w:sz w:val="14"/>
        <w:szCs w:val="14"/>
      </w:rPr>
      <w:t xml:space="preserve">WC-00198 — Internal Investigation Report  ·  Confidential and may be legally privileged.</w:t>
    </w:r>
    <w:r>
      <w:rPr>
        <w:color w:val="777777"/>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2E4A6B" w:sz="6" w:space="6"/>
      </w:pBdr>
      <w:spacing w:after="240"/>
    </w:pPr>
    <w:r>
      <w:rPr>
        <w:color w:val="555555"/>
        <w:sz w:val="16"/>
        <w:szCs w:val="16"/>
      </w:rPr>
      <w:t xml:space="preserve">22 Bishopsgate, London EC2N 4BQ  ·  +44 (0)20 7946 0000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08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 w:type="paragraph" w:styleId="Heading3">
    <w:name w:val="Heading 3"/>
    <w:basedOn w:val="Normal"/>
    <w:next w:val="Normal"/>
    <w:qFormat/>
    <w:pPr>
      <w:spacing w:after="8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2026-06-29T20:32:05.687Z</dcterms:created>
  <dcterms:modified xsi:type="dcterms:W3CDTF">2026-06-29T20:32:05.688Z</dcterms:modified>
</cp:coreProperties>
</file>

<file path=docProps/custom.xml><?xml version="1.0" encoding="utf-8"?>
<Properties xmlns="http://schemas.openxmlformats.org/officeDocument/2006/custom-properties" xmlns:vt="http://schemas.openxmlformats.org/officeDocument/2006/docPropsVTypes"/>
</file>