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pPr>
      <w:r>
        <w:rPr>
          <w:b/>
          <w:bCs/>
        </w:rPr>
        <w:t xml:space="preserve">PRIVILEGED AND CONFIDENTIAL — LEGAL ADVICE</w:t>
      </w:r>
    </w:p>
    <w:p>
      <w:pPr>
        <w:spacing w:after="200" w:line="276"/>
      </w:pPr>
      <w:r>
        <w:rPr>
          <w:i/>
          <w:iCs/>
          <w:sz w:val="18"/>
          <w:szCs w:val="18"/>
        </w:rPr>
        <w:t xml:space="preserve">Addressed to the Board of Calderwell Mobility Limited</w:t>
      </w:r>
    </w:p>
    <w:p>
      <w:pPr>
        <w:spacing w:after="40" w:line="276"/>
      </w:pPr>
      <w:r>
        <w:rPr>
          <w:b/>
          <w:bCs/>
          <w:sz w:val="32"/>
          <w:szCs w:val="32"/>
        </w:rPr>
        <w:t xml:space="preserve">ADVICE NOTE</w:t>
      </w:r>
    </w:p>
    <w:p>
      <w:pPr>
        <w:spacing w:after="160" w:line="276"/>
      </w:pPr>
      <w:r>
        <w:rPr>
          <w:b/>
          <w:bCs/>
          <w:sz w:val="22"/>
          <w:szCs w:val="22"/>
        </w:rPr>
        <w:t xml:space="preserve">Regulatory and civil liability exposure arising from the CV-7 braking defect and proposed recall</w:t>
      </w:r>
    </w:p>
    <w:p>
      <w:pPr>
        <w:tabs>
          <w:tab w:val="right" w:pos="9026"/>
        </w:tabs>
        <w:spacing w:after="200"/>
      </w:pPr>
      <w:r>
        <w:t>16 October 2025	WC-00198 / SW / TG</w:t>
      </w:r>
    </w:p>
    <w:p>
      <w:pPr>
        <w:pStyle w:val="Heading1"/>
      </w:pPr>
      <w:r>
        <w:t xml:space="preserve">1. Questions addressed</w:t>
      </w:r>
    </w:p>
    <w:p>
      <w:pPr>
        <w:spacing w:after="120" w:line="276"/>
      </w:pPr>
      <w:r>
        <w:t xml:space="preserve">You have asked us to advise on (a) the Company’s exposure under the GB vehicle safety and product safety regime; (b) the risk of enforcement or prosecution; (c) the Company’s civil liability exposure to customers and third parties; and (d) the steps that will best mitigate that exposure. This note assumes familiarity with the facts set out in our Internal Investigation Report dated 13 October 2025.</w:t>
      </w:r>
    </w:p>
    <w:p>
      <w:pPr>
        <w:pStyle w:val="Heading1"/>
      </w:pPr>
      <w:r>
        <w:t xml:space="preserve">2. Regulatory framework</w:t>
      </w:r>
    </w:p>
    <w:p>
      <w:pPr>
        <w:spacing w:after="120" w:line="276"/>
      </w:pPr>
      <w:r>
        <w:t xml:space="preserve">2.1  The principal instruments are the General Product Safety Regulations 2005 (“GPSR 2005”) and the GB vehicle safety recall framework operated by the DVSA under the Road Vehicles (Approval) Regulations 2020 and the DVSA Code of Practice on safety-related recalls. A “producer” is under a general duty to place only safe products on the market and, where it knows a product it has placed on the market poses risks incompatible with the general safety requirement, to take appropriate action including, where necessary, a recall and notification to the enforcement authority.</w:t>
      </w:r>
    </w:p>
    <w:p>
      <w:pPr>
        <w:spacing w:after="120" w:line="276"/>
      </w:pPr>
      <w:r>
        <w:t xml:space="preserve">2.2  In the automotive sector the DVSA Vehicle Safety Branch is the relevant authority. The expectation is that a manufacturer which identifies a safety-related defect will notify the DVSA promptly and will conduct a recall in accordance with the Code of Practice, monitored against published completion-rate expectations (the DVSA looks for high completion rates, conventionally targeting in the region of 100% over time and treating sustained rates materially below that as a concern).</w:t>
      </w:r>
    </w:p>
    <w:p>
      <w:pPr>
        <w:pStyle w:val="Heading1"/>
      </w:pPr>
      <w:r>
        <w:t xml:space="preserve">3. Enforcement and prosecution risk</w:t>
      </w:r>
    </w:p>
    <w:p>
      <w:pPr>
        <w:spacing w:after="120" w:line="276"/>
      </w:pPr>
      <w:r>
        <w:t xml:space="preserve">3.1  Failure to comply with the general safety requirement, or failure to notify a known risk, is capable of constituting an offence under the GPSR 2005, punishable on conviction by a fine and, in the case of certain offences, imprisonment of responsible individuals. Enforcement is, however, risk-based and proportionate: a producer that identifies a defect, notifies promptly and conducts an effective voluntary recall in cooperation with the DVSA is at the lowest end of the enforcement spectrum.</w:t>
      </w:r>
    </w:p>
    <w:p>
      <w:pPr>
        <w:spacing w:after="120" w:line="276"/>
      </w:pPr>
      <w:r>
        <w:t xml:space="preserve">3.2  In our assessment, provided the Company (a) notifies now, (b) conducts the recall diligently, and (c) is transparent with the DVSA, the risk of prosecution is low. The principal residual risk would arise if the eight field reports were shown to have been known to be safety-related materially earlier than they were escalated, or if the recall were not pursued to an adequate completion rate. The one-week delay in escalation (caused by the dealer mis-coding) is explicable and we do not consider it, on its own, to create significant prosecution risk; but it underlines the importance of prompt action now.</w:t>
      </w:r>
    </w:p>
    <w:p>
      <w:pPr>
        <w:pStyle w:val="Heading1"/>
      </w:pPr>
      <w:r>
        <w:t xml:space="preserve">4. Civil liability exposure</w:t>
      </w:r>
    </w:p>
    <w:p>
      <w:pPr>
        <w:spacing w:after="120" w:line="276"/>
      </w:pPr>
      <w:r>
        <w:t xml:space="preserve">4.1  Contractual: supply of the CV-7 to fleet customers is governed by the Company’s standard supply terms, which contain a warranty and a recall-cooperation provision. We are reviewing the Brookmere Logistics master supply agreement separately; on a preliminary view the Company’s recall costs are its own to bear, but customers may have claims for consequential loss (e.g. vehicle downtime) which are in most cases excluded or capped under the supply terms.</w:t>
      </w:r>
    </w:p>
    <w:p>
      <w:pPr>
        <w:spacing w:after="120" w:line="276"/>
      </w:pPr>
      <w:r>
        <w:t xml:space="preserve">4.2  Product liability: under the Consumer Protection Act 1987 a producer is liable for damage caused by a defective product. No injury or damage has been attributed to the defect to date. The proactive recall reduces the prospect of future harm and, with it, future CPA exposure. Any individual claim would turn on causation, which on the current evidence is not established.</w:t>
      </w:r>
    </w:p>
    <w:p>
      <w:pPr>
        <w:spacing w:after="120" w:line="276"/>
      </w:pPr>
      <w:r>
        <w:t xml:space="preserve">4.3  We recommend the Company notify its product liability and recall-expense insurers now (see section 6); the recall-costs cover under the policy may respond to a material portion of the recall expenditure, subject to the policy excess and conditions.</w:t>
      </w:r>
    </w:p>
    <w:p>
      <w:pPr>
        <w:pStyle w:val="Heading1"/>
      </w:pPr>
      <w:r>
        <w:t xml:space="preserve">5. Directors’ duties</w:t>
      </w:r>
    </w:p>
    <w:p>
      <w:pPr>
        <w:spacing w:after="120" w:line="276"/>
      </w:pPr>
      <w:r>
        <w:t xml:space="preserve">5.1  The directors’ duty to promote the success of the Company (s.172 Companies Act 2006) and to exercise reasonable care, skill and diligence (s.174) are both engaged. A prompt, well-documented and proactive response to a known safety defect is squarely consistent with those duties and is the course we advise. We recommend the Board formally resolve to authorise the notification and recall and record its reasons; a draft board minute is provided.</w:t>
      </w:r>
    </w:p>
    <w:p>
      <w:pPr>
        <w:pStyle w:val="Heading1"/>
      </w:pPr>
      <w:r>
        <w:t xml:space="preserve">6. Recommended mitigation steps</w:t>
      </w:r>
    </w:p>
    <w:p>
      <w:pPr>
        <w:pStyle w:val="ListParagraph"/>
        <w:numPr>
          <w:ilvl w:val="0"/>
          <w:numId w:val="2"/>
        </w:numPr>
        <w:spacing w:after="100" w:line="276"/>
      </w:pPr>
      <w:r>
        <w:t xml:space="preserve">Approve and submit the DVSA notification immediately.</w:t>
      </w:r>
    </w:p>
    <w:p>
      <w:pPr>
        <w:pStyle w:val="ListParagraph"/>
        <w:numPr>
          <w:ilvl w:val="0"/>
          <w:numId w:val="2"/>
        </w:numPr>
        <w:spacing w:after="100" w:line="276"/>
      </w:pPr>
      <w:r>
        <w:t xml:space="preserve">Approve the voluntary safety recall action plan and customer notification pack.</w:t>
      </w:r>
    </w:p>
    <w:p>
      <w:pPr>
        <w:pStyle w:val="ListParagraph"/>
        <w:numPr>
          <w:ilvl w:val="0"/>
          <w:numId w:val="2"/>
        </w:numPr>
        <w:spacing w:after="100" w:line="276"/>
      </w:pPr>
      <w:r>
        <w:t xml:space="preserve">Notify the Company’s product liability and recall-expense insurers within the policy notification period.</w:t>
      </w:r>
    </w:p>
    <w:p>
      <w:pPr>
        <w:pStyle w:val="ListParagraph"/>
        <w:numPr>
          <w:ilvl w:val="0"/>
          <w:numId w:val="2"/>
        </w:numPr>
        <w:spacing w:after="100" w:line="276"/>
      </w:pPr>
      <w:r>
        <w:t xml:space="preserve">Implement the field-triage and regression-test findings from the Investigation Report and record completion.</w:t>
      </w:r>
    </w:p>
    <w:p>
      <w:pPr>
        <w:pStyle w:val="ListParagraph"/>
        <w:numPr>
          <w:ilvl w:val="0"/>
          <w:numId w:val="2"/>
        </w:numPr>
        <w:spacing w:after="100" w:line="276"/>
      </w:pPr>
      <w:r>
        <w:t xml:space="preserve">Maintain a single, privilege-aware document trail and route external engineering work through this firm where practicable.</w:t>
      </w:r>
    </w:p>
    <w:p>
      <w:pPr>
        <w:pStyle w:val="ListParagraph"/>
        <w:numPr>
          <w:ilvl w:val="0"/>
          <w:numId w:val="2"/>
        </w:numPr>
        <w:spacing w:after="100" w:line="276"/>
      </w:pPr>
      <w:r>
        <w:t xml:space="preserve">Report recall completion rates to the Board monthly and to the DVSA as required, with a plan to chase non-responding owners.</w:t>
      </w:r>
    </w:p>
    <w:p>
      <w:pPr>
        <w:pStyle w:val="Heading1"/>
      </w:pPr>
      <w:r>
        <w:t xml:space="preserve">7. Conclusion</w:t>
      </w:r>
    </w:p>
    <w:p>
      <w:pPr>
        <w:spacing w:after="120" w:line="276"/>
      </w:pPr>
      <w:r>
        <w:t xml:space="preserve">7.1  The Company faces a manageable regulatory situation provided it acts now and conducts an effective recall. On the current facts we assess prosecution risk as low and immediate civil liability exposure as limited, with the principal financial exposure being the cost of the recall itself, a material portion of which may be insured. The single most important factor is prompt, cooperative engagement with the DVSA, which we recommend the Board authorise today.</w:t>
      </w:r>
    </w:p>
    <w:p>
      <w:pPr>
        <w:spacing w:after="120" w:line="276"/>
      </w:pPr>
      <w:r>
        <w:t xml:space="preserve"> </w:t>
      </w:r>
    </w:p>
    <w:p>
      <w:pPr>
        <w:spacing w:after="40"/>
      </w:pPr>
      <w:r>
        <w:rPr>
          <w:sz w:val="22"/>
          <w:szCs w:val="22"/>
        </w:rPr>
        <w:t xml:space="preserve">_______________________________</w:t>
      </w:r>
    </w:p>
    <w:p>
      <w:pPr>
        <w:spacing w:after="20" w:line="276"/>
      </w:pPr>
      <w:r>
        <w:rPr>
          <w:b/>
          <w:bCs/>
        </w:rPr>
        <w:t xml:space="preserve">Sarah Whitfield</w:t>
      </w:r>
    </w:p>
    <w:p>
      <w:pPr>
        <w:spacing w:after="120" w:line="276"/>
      </w:pPr>
      <w:r>
        <w:rPr>
          <w:i/>
          <w:iCs/>
          <w:sz w:val="20"/>
          <w:szCs w:val="20"/>
        </w:rPr>
        <w:t xml:space="preserve">Partner,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777777"/>
        <w:sz w:val="14"/>
        <w:szCs w:val="14"/>
      </w:rPr>
      <w:t xml:space="preserve">WC-00198 — Advice Note (Regulatory Exposure)  ·  Confidential and may be legally privileged.</w:t>
    </w:r>
    <w:r>
      <w:rPr>
        <w:color w:val="777777"/>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6"/>
      </w:pBdr>
      <w:spacing w:after="240"/>
    </w:pPr>
    <w:r>
      <w:rPr>
        <w:color w:val="555555"/>
        <w:sz w:val="16"/>
        <w:szCs w:val="16"/>
      </w:rPr>
      <w:t xml:space="preserve">22 Bishopsgate, London EC2N 4BQ  ·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08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2026-06-29T20:32:05.710Z</dcterms:created>
  <dcterms:modified xsi:type="dcterms:W3CDTF">2026-06-29T20:32:05.710Z</dcterms:modified>
</cp:coreProperties>
</file>

<file path=docProps/custom.xml><?xml version="1.0" encoding="utf-8"?>
<Properties xmlns="http://schemas.openxmlformats.org/officeDocument/2006/custom-properties" xmlns:vt="http://schemas.openxmlformats.org/officeDocument/2006/docPropsVTypes"/>
</file>