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18"/>
          <w:szCs w:val="18"/>
        </w:rPr>
        <w:t xml:space="preserve">Company No. 12880417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THE COMPANIES ACT 2006</w:t>
      </w:r>
    </w:p>
    <w:p>
      <w:pPr>
        <w:spacing w:after="40"/>
        <w:jc w:val="center"/>
      </w:pPr>
      <w:r>
        <w:rPr>
          <w:sz w:val="18"/>
          <w:szCs w:val="18"/>
        </w:rPr>
        <w:t xml:space="preserve">PRIVATE COMPANY LIMITED BY SHARES</w:t>
      </w:r>
    </w:p>
    <w:p>
      <w:pPr>
        <w:spacing w:after="60" w:before="200"/>
        <w:jc w:val="center"/>
      </w:pPr>
      <w:r>
        <w:rPr>
          <w:b/>
          <w:bCs/>
          <w:color w:val="1F4E5F"/>
          <w:sz w:val="30"/>
          <w:szCs w:val="30"/>
        </w:rPr>
        <w:t xml:space="preserve">ARTICLES OF ASSOCIATION</w:t>
      </w:r>
    </w:p>
    <w:p>
      <w:pPr>
        <w:spacing w:after="40"/>
        <w:jc w:val="center"/>
      </w:pPr>
      <w:r>
        <w:rPr>
          <w:sz w:val="18"/>
          <w:szCs w:val="18"/>
        </w:rPr>
        <w:t xml:space="preserve">of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CALDERWELL MOBILITY LIMITED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(adopted by special resolution passed on 6 February 2026)</w:t>
      </w:r>
    </w:p>
    <w:p>
      <w:pPr>
        <w:pStyle w:val="Heading1"/>
      </w:pPr>
      <w:r>
        <w:t xml:space="preserve">1.  Share capital</w:t>
      </w:r>
    </w:p>
    <w:p>
      <w:pPr>
        <w:spacing w:after="90"/>
        <w:ind w:left="600" w:hanging="600"/>
      </w:pPr>
      <w:r>
        <w:t xml:space="preserve">1.1	</w:t>
      </w:r>
      <w:r>
        <w:t xml:space="preserve">The share capital of the Company comprises Ordinary Shares, Seed Preferred Shares, Series A Preferred Shares and Series B Preferred Shares, each of £0.0001 nominal value, having the rights set out in these Articles.</w:t>
      </w:r>
    </w:p>
    <w:p>
      <w:pPr>
        <w:spacing w:after="90"/>
        <w:ind w:left="600" w:hanging="600"/>
      </w:pPr>
      <w:r>
        <w:t xml:space="preserve">1.2	</w:t>
      </w:r>
      <w:r>
        <w:t xml:space="preserve">On adoption of these Articles the issued share capital is 20,000,000 shares, comprising 8,400,000 Ordinary Shares, 1,400,000 Seed Preferred Shares, 2,800,000 Series A Preferred Shares and 6,000,000 Series B Preferred Shares (together with options over 1,400,000 Ordinary Shares reserved under the Company’s share option plan).</w:t>
      </w:r>
    </w:p>
    <w:p>
      <w:pPr>
        <w:pStyle w:val="Heading1"/>
      </w:pPr>
      <w:r>
        <w:t xml:space="preserve">2.  Income (dividends)</w:t>
      </w:r>
    </w:p>
    <w:p>
      <w:pPr>
        <w:spacing w:after="90"/>
        <w:ind w:left="600" w:hanging="600"/>
      </w:pPr>
      <w:r>
        <w:t xml:space="preserve">2.1	</w:t>
      </w:r>
      <w:r>
        <w:t xml:space="preserve">No dividend may be declared or paid on the Ordinary Shares unless an equivalent dividend (on an as-converted basis) is paid on the Preferred Shares. The Preferred Shares carry no fixed coupon.</w:t>
      </w:r>
    </w:p>
    <w:p>
      <w:pPr>
        <w:pStyle w:val="Heading1"/>
      </w:pPr>
      <w:r>
        <w:t xml:space="preserve">3.  Return of capital (liquidation preference)</w:t>
      </w:r>
    </w:p>
    <w:p>
      <w:pPr>
        <w:spacing w:after="90"/>
        <w:ind w:left="600" w:hanging="600"/>
      </w:pPr>
      <w:r>
        <w:t xml:space="preserve">3.1	</w:t>
      </w:r>
      <w:r>
        <w:t xml:space="preserve">On a return of assets on liquidation, sale or otherwise, the assets available for distribution are applied: first, in paying the Series B Preference (1x the Series B issue price, plus declared but unpaid dividends), in priority to all other shares; secondly, the Series A and Seed preferences; and thirdly, the balance to the holders of Ordinary Shares (treating the Preferred Shares as converted to the extent they have not taken a preference).</w:t>
      </w:r>
    </w:p>
    <w:p>
      <w:pPr>
        <w:spacing w:after="90"/>
        <w:ind w:left="600" w:hanging="600"/>
      </w:pPr>
      <w:r>
        <w:t xml:space="preserve">3.2	</w:t>
      </w:r>
      <w:r>
        <w:t xml:space="preserve">The Series B Preference is non-participating: a holder takes the greater of its preference and the amount it would receive on an as-converted basis, but not both.</w:t>
      </w:r>
    </w:p>
    <w:p>
      <w:pPr>
        <w:pStyle w:val="Heading1"/>
      </w:pPr>
      <w:r>
        <w:t xml:space="preserve">4.  Conversion</w:t>
      </w:r>
    </w:p>
    <w:p>
      <w:pPr>
        <w:spacing w:after="90"/>
        <w:ind w:left="600" w:hanging="600"/>
      </w:pPr>
      <w:r>
        <w:t xml:space="preserve">4.1	</w:t>
      </w:r>
      <w:r>
        <w:t xml:space="preserve">Each Preferred Share converts into one Ordinary Share (subject to anti-dilution adjustment) at the option of the holder, and all Preferred Shares convert automatically on a Qualifying IPO or on the written election of the holders of 60% of the relevant class.</w:t>
      </w:r>
    </w:p>
    <w:p>
      <w:pPr>
        <w:pStyle w:val="Heading1"/>
      </w:pPr>
      <w:r>
        <w:t xml:space="preserve">5.  Anti-dilution</w:t>
      </w:r>
    </w:p>
    <w:p>
      <w:pPr>
        <w:spacing w:after="90"/>
        <w:ind w:left="600" w:hanging="600"/>
      </w:pPr>
      <w:r>
        <w:t xml:space="preserve">5.1	</w:t>
      </w:r>
      <w:r>
        <w:t xml:space="preserve">If the Company issues shares at a price below the Series B issue price (other than Excluded Issues), the conversion rate of the Series B Preferred Shares is adjusted using the broad-based weighted-average formula set out in Article 5.2.</w:t>
      </w:r>
    </w:p>
    <w:p>
      <w:pPr>
        <w:spacing w:after="90"/>
        <w:ind w:left="600" w:hanging="600"/>
      </w:pPr>
      <w:r>
        <w:t xml:space="preserve">5.2	</w:t>
      </w:r>
      <w:r>
        <w:t xml:space="preserve">NCP(new) = NCP(old) × (A + B) / (A + C), where A is the number of shares in issue (fully diluted) before the issue, B is the number of shares the new consideration would have purchased at the old price, and C is the number of new shares actually issued.</w:t>
      </w:r>
    </w:p>
    <w:p>
      <w:pPr>
        <w:pStyle w:val="Heading1"/>
      </w:pPr>
      <w:r>
        <w:t xml:space="preserve">6.  Votes and class rights</w:t>
      </w:r>
    </w:p>
    <w:p>
      <w:pPr>
        <w:spacing w:after="90"/>
        <w:ind w:left="600" w:hanging="600"/>
      </w:pPr>
      <w:r>
        <w:t xml:space="preserve">6.1	</w:t>
      </w:r>
      <w:r>
        <w:t xml:space="preserve">Each share carries one vote. The special rights attaching to any class may be varied only with the consent in writing of the holders of 60% of that class (and, in the case of the Series B Preferred Shares, the Lead Investor).</w:t>
      </w:r>
    </w:p>
    <w:p>
      <w:pPr>
        <w:pStyle w:val="Heading1"/>
      </w:pPr>
      <w:r>
        <w:t xml:space="preserve">7.  Transfers and pre-emption</w:t>
      </w:r>
    </w:p>
    <w:p>
      <w:pPr>
        <w:spacing w:after="90"/>
        <w:ind w:left="600" w:hanging="600"/>
      </w:pPr>
      <w:r>
        <w:t xml:space="preserve">7.1	</w:t>
      </w:r>
      <w:r>
        <w:t xml:space="preserve">No share may be transferred except in accordance with the pre-emption, tag-along and drag-along provisions in Articles 8 to 10, save for Permitted Transfers (including transfers by an Investor to its affiliates or managed funds).</w:t>
      </w:r>
    </w:p>
    <w:p>
      <w:pPr>
        <w:pStyle w:val="Heading1"/>
      </w:pPr>
      <w:r>
        <w:t xml:space="preserve">8.  Directors</w:t>
      </w:r>
    </w:p>
    <w:p>
      <w:pPr>
        <w:spacing w:after="90"/>
        <w:ind w:left="600" w:hanging="600"/>
      </w:pPr>
      <w:r>
        <w:t xml:space="preserve">8.1	</w:t>
      </w:r>
      <w:r>
        <w:t xml:space="preserve">The board comprises up to five directors: two Founder Directors, the Investor Director appointed by the Lead Investor, a Series A director, and an independent non-executive director. The quorum is three directors and must include the Investor Director.</w:t>
      </w:r>
    </w:p>
    <w:p>
      <w:pPr>
        <w:pStyle w:val="Heading1"/>
      </w:pPr>
      <w:r>
        <w:t xml:space="preserve">9.  Drag-along and tag-along</w:t>
      </w:r>
    </w:p>
    <w:p>
      <w:pPr>
        <w:spacing w:after="90"/>
        <w:ind w:left="600" w:hanging="600"/>
      </w:pPr>
      <w:r>
        <w:t xml:space="preserve">9.1	</w:t>
      </w:r>
      <w:r>
        <w:t xml:space="preserve">If a sale is approved by holders of 60% of the shares (as converted) and the Investor Director, the remaining shareholders must sell on the same terms; minority holders have a reciprocal tag-along right.</w:t>
      </w:r>
    </w:p>
    <w:p>
      <w:pPr>
        <w:pStyle w:val="Heading1"/>
      </w:pPr>
      <w:r>
        <w:t xml:space="preserve">10.  General</w:t>
      </w:r>
    </w:p>
    <w:p>
      <w:pPr>
        <w:spacing w:after="90"/>
        <w:ind w:left="600" w:hanging="600"/>
      </w:pPr>
      <w:r>
        <w:t xml:space="preserve">10.1	</w:t>
      </w:r>
      <w:r>
        <w:t xml:space="preserve">The model articles for private companies limited by shares apply except as excluded or modified by these Articles. These Articles are governed by the law of England and Wales.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888888"/>
        <w:sz w:val="15"/>
        <w:szCs w:val="15"/>
      </w:rPr>
      <w:t xml:space="preserve">WC-00185 / Project Tempest — Articles  —  Confidential and may be legally privileged.</w:t>
    </w:r>
    <w:r>
      <w:rPr>
        <w:color w:val="888888"/>
        <w:sz w:val="15"/>
        <w:szCs w:val="15"/>
      </w:rPr>
      <w:t xml:space="preserve">	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5F"/>
        <w:sz w:val="30"/>
        <w:szCs w:val="30"/>
      </w:rPr>
      <w:t xml:space="preserve">Whitfield Carter LLP</w:t>
    </w:r>
  </w:p>
  <w:p>
    <w:pPr>
      <w:pBdr>
        <w:bottom w:val="single" w:color="1F4E5F" w:sz="6" w:space="2"/>
      </w:pBdr>
      <w:spacing w:after="200"/>
    </w:pPr>
    <w:r>
      <w:rPr>
        <w:color w:val="666666"/>
        <w:sz w:val="16"/>
        <w:szCs w:val="16"/>
      </w:rPr>
      <w:t xml:space="preserve">22 Bishopsgate, London EC2N 4BQ  •  www.whitfieldcarter.com  •  +44 (0)20 7946 0500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32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righ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60"/>
      <w:outlineLvl w:val="0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2026-06-29T18:53:34.349Z</dcterms:created>
  <dcterms:modified xsi:type="dcterms:W3CDTF">2026-06-29T18:53:34.349Z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