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26"/>
          <w:szCs w:val="26"/>
        </w:rPr>
        <w:t xml:space="preserve">PROJECT TEMPEST — COMPLETION CHECKLIST</w:t>
      </w:r>
    </w:p>
    <w:p>
      <w:pPr>
        <w:spacing w:after="200"/>
        <w:jc w:val="center"/>
      </w:pPr>
      <w:r>
        <w:rPr>
          <w:sz w:val="19"/>
          <w:szCs w:val="19"/>
        </w:rPr>
        <w:t xml:space="preserve">Series B investment in Calderwell Mobility Limited  |  Completion: 6 February 2026</w:t>
      </w:r>
    </w:p>
    <w:p>
      <w:pPr>
        <w:spacing w:after="120"/>
      </w:pPr>
      <w:r>
        <w:t xml:space="preserve">Document status key: A = agreed final form; S = signature version circulated; E = executed and held to order; ● = condition satisfied.</w:t>
      </w:r>
    </w:p>
    <w:p>
      <w:pPr>
        <w:pStyle w:val="Heading1"/>
      </w:pPr>
      <w:r>
        <w:t xml:space="preserve">Part 1 — Transaction documents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360"/>
        <w:gridCol w:w="1600"/>
        <w:gridCol w:w="10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Subscription and Shareholders’ Agreement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Company / Founders / Investors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Whitfield Carter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Investor Rights Agreement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Company / Investors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Whitfield Carter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Amended Articles of Association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Whitfield Carter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Disclosure Letter and Bundle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Warrantors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Whitfield Carter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Funds Flow Statement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Whitfield Carter / Marlow Tax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Cap table (pre and post)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Whitfield Carter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</w:t>
            </w:r>
          </w:p>
        </w:tc>
      </w:tr>
    </w:tbl>
    <w:p>
      <w:pPr>
        <w:pStyle w:val="Heading1"/>
      </w:pPr>
      <w:r>
        <w:t xml:space="preserve">Part 2 — Corporate authorisations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400"/>
        <w:gridCol w:w="16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Board resolutions: approve transaction, allot Series B Shares, adopt new Articles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Company / WC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Shareholder special resolution adopting Articles and disapplying pre-emption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Company / WC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Investor Director appointment (Marisdale) and observer (Westbridge)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Investors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Existing shareholder consents / waivers of pre-emption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●</w:t>
            </w:r>
          </w:p>
        </w:tc>
      </w:tr>
    </w:tbl>
    <w:p>
      <w:pPr>
        <w:pStyle w:val="Heading1"/>
      </w:pPr>
      <w:r>
        <w:t xml:space="preserve">Part 3 — Conditions and completion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400"/>
        <w:gridCol w:w="16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Subscription monies (£18,000,000) received into solicitors’ client account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Investors / WC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Share certificates for Series B Shares issued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Company / WC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Updated register of members and PSC register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Company / WC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AML / KYC verification of Company and beneficial owners complete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Confirmation of no Material Adverse Change since 30 Sept 2025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Founders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●</w:t>
            </w:r>
          </w:p>
        </w:tc>
      </w:tr>
    </w:tbl>
    <w:p>
      <w:pPr>
        <w:pStyle w:val="Heading1"/>
      </w:pPr>
      <w:r>
        <w:t xml:space="preserve">Part 4 — Post-completion filings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000"/>
        <w:gridCol w:w="20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Companies House: SH01 (return of allotments)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within 1 month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WC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Companies House: special resolution and amended Articles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within 15 days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WC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Companies House: TM01/AP01 for director changes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within 14 days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WC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Update PSC register and file PSC changes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within 14 days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WC / Company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Issue executed bible of documents to all parties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 weeks post-completion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WC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026"/>
      </w:tabs>
    </w:pPr>
    <w:r>
      <w:rPr>
        <w:color w:val="888888"/>
        <w:sz w:val="15"/>
        <w:szCs w:val="15"/>
      </w:rPr>
      <w:t xml:space="preserve">WC-00185 / Project Tempest — Completion Checklist  —  Confidential and may be legally privileged.</w:t>
    </w:r>
    <w:r>
      <w:rPr>
        <w:color w:val="888888"/>
        <w:sz w:val="15"/>
        <w:szCs w:val="15"/>
      </w:rPr>
      <w:t xml:space="preserve">	Page </w:t>
    </w:r>
    <w:r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1F4E5F"/>
        <w:sz w:val="30"/>
        <w:szCs w:val="30"/>
      </w:rPr>
      <w:t xml:space="preserve">Whitfield Carter LLP</w:t>
    </w:r>
  </w:p>
  <w:p>
    <w:pPr>
      <w:pBdr>
        <w:bottom w:val="single" w:color="1F4E5F" w:sz="6" w:space="2"/>
      </w:pBdr>
      <w:spacing w:after="200"/>
    </w:pPr>
    <w:r>
      <w:rPr>
        <w:color w:val="666666"/>
        <w:sz w:val="16"/>
        <w:szCs w:val="16"/>
      </w:rPr>
      <w:t xml:space="preserve">22 Bishopsgate, London EC2N 4BQ  •  www.whitfieldcarter.com  •  +44 (0)20 7946 0500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432"/>
      </w:pPr>
    </w:lvl>
  </w:abstractNum>
  <w:abstractNum w:abstractNumId="4" w15:restartNumberingAfterBreak="0">
    <w:multiLevelType w:val="hybridMultilevel"/>
    <w:lvl w:ilvl="0" w15:tentative="1">
      <w:start w:val="1"/>
      <w:numFmt w:val="lowerRoman"/>
      <w:lvlText w:val="(%1)"/>
      <w:lvlJc w:val="righ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60"/>
      <w:outlineLvl w:val="0"/>
    </w:pPr>
    <w:rPr>
      <w:rFonts w:ascii="Arial" w:cs="Arial" w:eastAsia="Arial" w:hAnsi="Arial"/>
      <w:b/>
      <w:bCs/>
      <w:color w:val="1F4E5F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0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2026-06-29T18:53:34.368Z</dcterms:created>
  <dcterms:modified xsi:type="dcterms:W3CDTF">2026-06-29T18:53:34.368Z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