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19"/>
          <w:szCs w:val="19"/>
        </w:rPr>
        <w:t xml:space="preserve">To: Marisdale Growth Partners LLP and Westbridge Growth Capital LLP (the “Investors”)</w:t>
      </w:r>
    </w:p>
    <w:p>
      <w:pPr>
        <w:spacing w:after="120"/>
      </w:pPr>
      <w:r>
        <w:rPr>
          <w:sz w:val="19"/>
          <w:szCs w:val="19"/>
        </w:rPr>
        <w:t xml:space="preserve">From: Calderwell Mobility Limited and the Founders (the “Warrantors”)</w:t>
      </w:r>
    </w:p>
    <w:p>
      <w:pPr>
        <w:spacing w:after="120"/>
      </w:pPr>
      <w:r>
        <w:rPr>
          <w:sz w:val="19"/>
          <w:szCs w:val="19"/>
        </w:rPr>
        <w:t xml:space="preserve">Date: 30 January 2026</w:t>
      </w:r>
    </w:p>
    <w:p>
      <w:pPr>
        <w:spacing w:after="120"/>
      </w:pPr>
      <w:r>
        <w:t xml:space="preserve">Dear Sirs</w:t>
      </w:r>
    </w:p>
    <w:p>
      <w:pPr>
        <w:spacing w:after="120"/>
      </w:pPr>
      <w:r>
        <w:rPr>
          <w:b/>
          <w:bCs/>
        </w:rPr>
        <w:t xml:space="preserve">Project Tempest — Disclosure Letter</w:t>
      </w:r>
    </w:p>
    <w:p>
      <w:pPr>
        <w:spacing w:after="120"/>
      </w:pPr>
      <w:r>
        <w:t xml:space="preserve">This is the Disclosure Letter referred to in the Series B Subscription and Shareholders’ Agreement of today’s date (the “Agreement”). Terms defined in the Agreement have the same meaning here. This letter discloses matters which are exceptions to, or qualifications of, the Warranties. The Warranties are given subject to all matters fairly disclosed in this letter and in the Disclosure Bundle (the data room index of which is annexed).</w:t>
      </w:r>
    </w:p>
    <w:p>
      <w:pPr>
        <w:pStyle w:val="Heading1"/>
      </w:pPr>
      <w:r>
        <w:t xml:space="preserve">1.  General disclosures</w:t>
      </w:r>
    </w:p>
    <w:p>
      <w:pPr>
        <w:spacing w:after="120"/>
      </w:pPr>
      <w:r>
        <w:t xml:space="preserve">The Warranties are qualified by: (a) all matters apparent from the Company’s filed accounts and Companies House record; (b) all matters fairly disclosed in the Disclosure Bundle; and (c) matters of public record at HM Land Registry, the UK IPO and the Information Commissioner’s Office.</w:t>
      </w:r>
    </w:p>
    <w:p>
      <w:pPr>
        <w:pStyle w:val="Heading1"/>
      </w:pPr>
      <w:r>
        <w:t xml:space="preserve">2.  Specific disclosures</w:t>
      </w:r>
    </w:p>
    <w:p>
      <w:pPr>
        <w:spacing w:after="120"/>
      </w:pPr>
      <w:r>
        <w:rPr>
          <w:b/>
          <w:bCs/>
        </w:rPr>
        <w:t xml:space="preserve">Warranty 3.1 (Intellectual property).</w:t>
      </w:r>
      <w:r>
        <w:t xml:space="preserve"> Patent application GB2410882.1 (motor controller architecture) is at examination stage and has not yet been granted. A third-party observation was filed in March 2025; the Company’s patent attorneys (Hartington IP) consider it does not affect novelty (opinion in the Disclosure Bundle at 3.4).</w:t>
      </w:r>
    </w:p>
    <w:p>
      <w:pPr>
        <w:spacing w:after="120"/>
      </w:pPr>
      <w:r>
        <w:rPr>
          <w:b/>
          <w:bCs/>
        </w:rPr>
        <w:t xml:space="preserve">Warranty 3.2 (Non-infringement).</w:t>
      </w:r>
      <w:r>
        <w:t xml:space="preserve"> In June 2025 the Company received a letter from a competitor, Northstar Cell Technologies plc, asserting possible overlap with its battery-management firmware. The Company’s response (denying infringement) and counsel’s note are disclosed at 3.6; no proceedings have been issued.</w:t>
      </w:r>
    </w:p>
    <w:p>
      <w:pPr>
        <w:spacing w:after="120"/>
      </w:pPr>
      <w:r>
        <w:rPr>
          <w:b/>
          <w:bCs/>
        </w:rPr>
        <w:t xml:space="preserve">Warranty 4.1 (Material contracts).</w:t>
      </w:r>
      <w:r>
        <w:t xml:space="preserve"> The supply agreement with Reyland Fine Chemicals contains a change-of-control notification (not consent) provision; notice will be given following Completion. The Company’s largest customer contract (fleet pilot with Wexbourne Retail Group) is terminable on 90 days’ notice.</w:t>
      </w:r>
    </w:p>
    <w:p>
      <w:pPr>
        <w:spacing w:after="120"/>
      </w:pPr>
      <w:r>
        <w:rPr>
          <w:b/>
          <w:bCs/>
        </w:rPr>
        <w:t xml:space="preserve">Warranty 4.3 (Litigation).</w:t>
      </w:r>
      <w:r>
        <w:t xml:space="preserve"> A former contractor has intimated (but not issued) a claim for unpaid invoices of approximately £38,000, which the Company disputes. Details at 4.3 of the Bundle.</w:t>
      </w:r>
    </w:p>
    <w:p>
      <w:pPr>
        <w:spacing w:after="120"/>
      </w:pPr>
      <w:r>
        <w:rPr>
          <w:b/>
          <w:bCs/>
        </w:rPr>
        <w:t xml:space="preserve">Warranty 5.1 (Employees).</w:t>
      </w:r>
      <w:r>
        <w:t xml:space="preserve"> The Head of Engineering is on a 6-month notice period; no key employee has given notice. Two employees are on parental leave.</w:t>
      </w:r>
    </w:p>
    <w:p>
      <w:pPr>
        <w:spacing w:after="120"/>
      </w:pPr>
      <w:r>
        <w:rPr>
          <w:b/>
          <w:bCs/>
        </w:rPr>
        <w:t xml:space="preserve">Warranty 6.3 (Tax reliefs).</w:t>
      </w:r>
      <w:r>
        <w:t xml:space="preserve"> The Company has claimed R&amp;D expenditure credits for FY2023 and FY2024; HMRC has opened a routine enquiry into the FY2023 claim, which the Company’s advisers expect to be resolved without material adjustment (correspondence at 6.3).</w:t>
      </w:r>
    </w:p>
    <w:p>
      <w:pPr>
        <w:spacing w:after="120"/>
      </w:pPr>
      <w:r>
        <w:rPr>
          <w:b/>
          <w:bCs/>
        </w:rPr>
        <w:t xml:space="preserve">Warranty 2.4 (Borrowings).</w:t>
      </w:r>
      <w:r>
        <w:t xml:space="preserve"> The Company has a £500,000 revolving facility with Clydesford Bank plc (drawn £180,000 at the date of this letter) secured by a debenture. The facility will remain in place following Completion.</w:t>
      </w:r>
    </w:p>
    <w:p>
      <w:pPr>
        <w:pStyle w:val="Heading1"/>
      </w:pPr>
      <w:r>
        <w:t xml:space="preserve">3.  Disclosure Bundle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Ref</w:t>
            </w:r>
          </w:p>
        </w:tc>
        <w:tc>
          <w:tcPr>
            <w:tcW w:type="dxa" w:w="84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Document</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Corporate: certificate of incorporation, current articles, statutory registers, board minutes (2023–2025)</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Accounts: audited accounts FY2023–FY2024; management accounts to 30 Sept 2025; FY2026 budget</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3</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IP: patent schedule; Hartington IP opinions; software assignment deeds; Northstar correspondence</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4</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Commercial: material customer and supplier contracts; Reyland supply agreement; Wexbourne pilot</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5</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Employment: employee schedule; template contracts; option plan rules</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Tax: corporation-tax computations; R&amp;D claims; HMRC enquiry correspondence</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7</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Finance: Clydesford facility agreement and debenture; bank statements</w:t>
            </w:r>
          </w:p>
        </w:tc>
      </w:tr>
    </w:tbl>
    <w:p>
      <w:pPr>
        <w:spacing w:after="120"/>
      </w:pPr>
      <w:r>
        <w:t xml:space="preserve">Yours faithfully</w:t>
      </w:r>
    </w:p>
    <w:p>
      <w:pPr>
        <w:spacing w:before="300"/>
      </w:pPr>
      <w:r>
        <w:t xml:space="preserve">For and on behalf of the Warrantors</w:t>
      </w:r>
    </w:p>
    <w:p>
      <w:pPr>
        <w:spacing w:after="120"/>
      </w:pPr>
      <w:r>
        <w:t xml:space="preserve">...................................   Dr Daniel Calderwell,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888888"/>
        <w:sz w:val="15"/>
        <w:szCs w:val="15"/>
      </w:rPr>
      <w:t xml:space="preserve">WC-00185 / Project Tempest — Disclosure Letter  —  Confidential and may be legally privileged.</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5F"/>
        <w:sz w:val="30"/>
        <w:szCs w:val="30"/>
      </w:rPr>
      <w:t xml:space="preserve">Whitfield Carter LLP</w:t>
    </w:r>
  </w:p>
  <w:p>
    <w:pPr>
      <w:pBdr>
        <w:bottom w:val="single" w:color="1F4E5F" w:sz="6" w:space="2"/>
      </w:pBdr>
      <w:spacing w:after="200"/>
    </w:pPr>
    <w:r>
      <w:rPr>
        <w:color w:val="666666"/>
        <w:sz w:val="16"/>
        <w:szCs w:val="16"/>
      </w:rPr>
      <w:t xml:space="preserve">22 Bishopsgate, London EC2N 4BQ  •  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432"/>
      </w:pPr>
    </w:lvl>
  </w:abstractNum>
  <w:abstractNum w:abstractNumId="4" w15:restartNumberingAfterBreak="0">
    <w:multiLevelType w:val="hybridMultilevel"/>
    <w:lvl w:ilvl="0" w15:tentative="1">
      <w:start w:val="1"/>
      <w:numFmt w:val="lowerRoman"/>
      <w:lvlText w:val="(%1)"/>
      <w:lvlJc w:val="righ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Arial" w:cs="Arial" w:eastAsia="Arial" w:hAnsi="Arial"/>
      <w:b/>
      <w:bCs/>
      <w:color w:val="1F4E5F"/>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2026-06-29T18:53:34.357Z</dcterms:created>
  <dcterms:modified xsi:type="dcterms:W3CDTF">2026-06-29T18:53:34.357Z</dcterms:modified>
</cp:coreProperties>
</file>

<file path=docProps/custom.xml><?xml version="1.0" encoding="utf-8"?>
<Properties xmlns="http://schemas.openxmlformats.org/officeDocument/2006/custom-properties" xmlns:vt="http://schemas.openxmlformats.org/officeDocument/2006/docPropsVTypes"/>
</file>