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i/>
          <w:iCs/>
          <w:sz w:val="18"/>
          <w:szCs w:val="18"/>
        </w:rPr>
        <w:t xml:space="preserve">Strictly private and confidential</w:t>
      </w:r>
    </w:p>
    <w:p>
      <w:pPr>
        <w:spacing w:after="120"/>
      </w:pPr>
      <w:r>
        <w:rPr>
          <w:b/>
          <w:bCs/>
        </w:rPr>
        <w:t xml:space="preserve">Dr Daniel Calderwell</w:t>
      </w:r>
    </w:p>
    <w:p>
      <w:pPr>
        <w:spacing w:after="120"/>
      </w:pPr>
      <w:r>
        <w:t xml:space="preserve">Chief Executive Officer</w:t>
      </w:r>
    </w:p>
    <w:p>
      <w:pPr>
        <w:spacing w:after="120"/>
      </w:pPr>
      <w:r>
        <w:t xml:space="preserve">Calderwell Mobility Limited</w:t>
      </w:r>
    </w:p>
    <w:p>
      <w:pPr>
        <w:spacing w:after="120"/>
      </w:pPr>
      <w:r>
        <w:t xml:space="preserve">Building C, Riverside Technology Park, Cambridge CB4 0WS</w:t>
      </w:r>
    </w:p>
    <w:p>
      <w:pPr>
        <w:spacing w:after="120"/>
      </w:pPr>
      <w:r>
        <w:t xml:space="preserve">9 October 2025</w:t>
      </w:r>
    </w:p>
    <w:p>
      <w:pPr>
        <w:spacing w:after="120"/>
      </w:pPr>
      <w:r>
        <w:rPr>
          <w:i/>
          <w:iCs/>
          <w:sz w:val="18"/>
          <w:szCs w:val="18"/>
        </w:rPr>
        <w:t xml:space="preserve">By email and post</w:t>
      </w:r>
    </w:p>
    <w:p>
      <w:pPr>
        <w:spacing w:after="120"/>
      </w:pPr>
      <w:r>
        <w:t xml:space="preserve">Dear Daniel</w:t>
      </w:r>
    </w:p>
    <w:p>
      <w:pPr>
        <w:spacing w:after="120"/>
      </w:pPr>
      <w:r>
        <w:rPr>
          <w:b/>
          <w:bCs/>
        </w:rPr>
        <w:t xml:space="preserve">Project Tempest — proposed Series B equity financing of Calderwell Mobility Limited</w:t>
      </w:r>
    </w:p>
    <w:p>
      <w:pPr>
        <w:spacing w:after="120"/>
      </w:pPr>
      <w:r>
        <w:t xml:space="preserve">Thank you for instructing Whitfield Carter LLP to act for Calderwell Mobility Limited (the “Company”) in connection with its proposed Series B fundraising (“Project Tempest” or the “Transaction”). This letter, together with our enclosed standard terms of business, sets out the basis on which we will act. Please sign and return the duplicate to confirm your agreement.</w:t>
      </w:r>
    </w:p>
    <w:p>
      <w:pPr>
        <w:pStyle w:val="Heading1"/>
      </w:pPr>
      <w:r>
        <w:t xml:space="preserve">1.  Scope of our engagement</w:t>
      </w:r>
    </w:p>
    <w:p>
      <w:pPr>
        <w:spacing w:after="120"/>
      </w:pPr>
      <w:r>
        <w:t xml:space="preserve">We will advise the Company on the legal aspects of the Transaction, an equity investment of approximately £18 million by new and existing investors led by Marisdale Growth Partners LLP, at a pre-money valuation of £42 million. Our work will include:</w:t>
      </w:r>
    </w:p>
    <w:p>
      <w:pPr>
        <w:pStyle w:val="ListParagraph"/>
        <w:numPr>
          <w:ilvl w:val="0"/>
          <w:numId w:val="2"/>
        </w:numPr>
        <w:spacing w:after="80"/>
      </w:pPr>
      <w:r>
        <w:t xml:space="preserve">preparing and negotiating the Series B term sheet, subscription agreement, investor rights agreement and amended articles of association;</w:t>
      </w:r>
    </w:p>
    <w:p>
      <w:pPr>
        <w:pStyle w:val="ListParagraph"/>
        <w:numPr>
          <w:ilvl w:val="0"/>
          <w:numId w:val="2"/>
        </w:numPr>
        <w:spacing w:after="80"/>
      </w:pPr>
      <w:r>
        <w:t xml:space="preserve">preparing and reviewing the disclosure letter and assisting management with the disclosure exercise;</w:t>
      </w:r>
    </w:p>
    <w:p>
      <w:pPr>
        <w:pStyle w:val="ListParagraph"/>
        <w:numPr>
          <w:ilvl w:val="0"/>
          <w:numId w:val="2"/>
        </w:numPr>
        <w:spacing w:after="80"/>
      </w:pPr>
      <w:r>
        <w:t xml:space="preserve">managing the legal due diligence process and responding to the investors’ enquiries;</w:t>
      </w:r>
    </w:p>
    <w:p>
      <w:pPr>
        <w:pStyle w:val="ListParagraph"/>
        <w:numPr>
          <w:ilvl w:val="0"/>
          <w:numId w:val="2"/>
        </w:numPr>
        <w:spacing w:after="80"/>
      </w:pPr>
      <w:r>
        <w:t xml:space="preserve">preparing the board and shareholder resolutions, the funds flow and the completion checklist; and</w:t>
      </w:r>
    </w:p>
    <w:p>
      <w:pPr>
        <w:pStyle w:val="ListParagraph"/>
        <w:numPr>
          <w:ilvl w:val="0"/>
          <w:numId w:val="2"/>
        </w:numPr>
        <w:spacing w:after="80"/>
      </w:pPr>
      <w:r>
        <w:t xml:space="preserve">co-ordinating signing and completion and the post-completion filings at Companies House.</w:t>
      </w:r>
    </w:p>
    <w:p>
      <w:pPr>
        <w:spacing w:after="120"/>
      </w:pPr>
      <w:r>
        <w:t xml:space="preserve">Our engagement does not extend to tax structuring advice (on which Marlow Tax &amp; Advisory Ltd is separately instructed), commercial or technical due diligence, or advice on the laws of any jurisdiction other than England and Wales.</w:t>
      </w:r>
    </w:p>
    <w:p>
      <w:pPr>
        <w:pStyle w:val="Heading1"/>
      </w:pPr>
      <w:r>
        <w:t xml:space="preserve">2.  Your team</w:t>
      </w:r>
    </w:p>
    <w:p>
      <w:pPr>
        <w:spacing w:after="120"/>
      </w:pPr>
      <w:r>
        <w:t xml:space="preserve">The partner responsible for this matter is Sarah Whitfield. She will be assisted by James Osei (Senior Associate) and Elena Marchetti (Associate). Donna Bridges will assist with administrative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Name</w:t>
            </w:r>
          </w:p>
        </w:tc>
        <w:tc>
          <w:tcPr>
            <w:tcW w:type="dxa" w:w="360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Role</w:t>
            </w:r>
          </w:p>
        </w:tc>
        <w:tc>
          <w:tcPr>
            <w:tcW w:type="dxa" w:w="216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Hourly rate (£, excl. VAT)</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Sarah Whitfield</w:t>
            </w:r>
          </w:p>
        </w:tc>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Partner</w:t>
            </w:r>
          </w:p>
        </w:tc>
        <w:tc>
          <w:tcPr>
            <w:tcW w:type="dxa" w:w="21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695</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James Osei</w:t>
            </w:r>
          </w:p>
        </w:tc>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Senior Associate</w:t>
            </w:r>
          </w:p>
        </w:tc>
        <w:tc>
          <w:tcPr>
            <w:tcW w:type="dxa" w:w="21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465</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Elena Marchetti</w:t>
            </w:r>
          </w:p>
        </w:tc>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Associate</w:t>
            </w:r>
          </w:p>
        </w:tc>
        <w:tc>
          <w:tcPr>
            <w:tcW w:type="dxa" w:w="21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320</w:t>
            </w:r>
          </w:p>
        </w:tc>
      </w:tr>
    </w:tbl>
    <w:p>
      <w:pPr>
        <w:pStyle w:val="Heading1"/>
      </w:pPr>
      <w:r>
        <w:t xml:space="preserve">3.  Fees and estimate</w:t>
      </w:r>
    </w:p>
    <w:p>
      <w:pPr>
        <w:spacing w:after="120"/>
      </w:pPr>
      <w:r>
        <w:t xml:space="preserve">Our fees are charged by reference to the time spent at the rates above. Based on a transaction of this nature proceeding to a normal timetable, we estimate our fees will be in the range of £85,000 to £110,000 (excluding VAT and disbursements). We will keep you informed if it appears the estimate will be exceeded. As is customary, the Company has agreed with the investors that the Company will contribute up to £75,000 (excluding VAT) towards the Company’s legal fees and up to £45,000 (excluding VAT) towards the lead investor’s legal costs, payable at completion from the proceeds.</w:t>
      </w:r>
    </w:p>
    <w:p>
      <w:pPr>
        <w:pStyle w:val="Heading1"/>
      </w:pPr>
      <w:r>
        <w:t xml:space="preserve">4.  Billing</w:t>
      </w:r>
    </w:p>
    <w:p>
      <w:pPr>
        <w:spacing w:after="120"/>
      </w:pPr>
      <w:r>
        <w:t xml:space="preserve">We will render interim invoices monthly and a final invoice at completion. Invoices are payable within 14 days. Disbursements (including Companies House fees and any search fees) will be charged at cost.</w:t>
      </w:r>
    </w:p>
    <w:p>
      <w:pPr>
        <w:pStyle w:val="Heading1"/>
      </w:pPr>
      <w:r>
        <w:t xml:space="preserve">5.  Conflicts and confidentiality</w:t>
      </w:r>
    </w:p>
    <w:p>
      <w:pPr>
        <w:spacing w:after="120"/>
      </w:pPr>
      <w:r>
        <w:t xml:space="preserve">We have carried out a conflict check and are not aware of any conflict that prevents us acting for the Company on this matter. We will keep all information relating to the Company and the Transaction confidential in accordance with our professional obligations and our standard terms of business.</w:t>
      </w:r>
    </w:p>
    <w:p>
      <w:pPr>
        <w:pStyle w:val="Heading1"/>
      </w:pPr>
      <w:r>
        <w:t xml:space="preserve">6.  Anti-money laundering</w:t>
      </w:r>
    </w:p>
    <w:p>
      <w:pPr>
        <w:spacing w:after="120"/>
      </w:pPr>
      <w:r>
        <w:t xml:space="preserve">We are required to verify the identity of the Company and its beneficial owners before we can act. We will write separately with our standard identification requirements; the matter cannot complete until these are satisfied.</w:t>
      </w:r>
    </w:p>
    <w:p>
      <w:pPr>
        <w:pStyle w:val="Heading1"/>
      </w:pPr>
      <w:r>
        <w:t xml:space="preserve">7.  Acceptance</w:t>
      </w:r>
    </w:p>
    <w:p>
      <w:pPr>
        <w:spacing w:after="120"/>
      </w:pPr>
      <w:r>
        <w:t xml:space="preserve">If the above is acceptable, please sign and return the enclosed copy of this letter. We are delighted to be working with you on Project Tempest and look forward to a successful completion.</w:t>
      </w:r>
    </w:p>
    <w:p>
      <w:pPr>
        <w:spacing w:after="120"/>
      </w:pPr>
      <w:r>
        <w:t xml:space="preserve">Yours sincerely</w:t>
      </w:r>
    </w:p>
    <w:p>
      <w:pPr>
        <w:spacing w:after="60" w:before="360"/>
      </w:pPr>
      <w:r>
        <w:rPr>
          <w:b/>
          <w:bCs/>
        </w:rPr>
        <w:t xml:space="preserve">Sarah Whitfield</w:t>
      </w:r>
    </w:p>
    <w:p>
      <w:pPr>
        <w:spacing w:after="120"/>
      </w:pPr>
      <w:r>
        <w:t xml:space="preserve">Partner, Whitfield Carter LLP</w:t>
      </w:r>
    </w:p>
    <w:p>
      <w:pPr>
        <w:spacing w:after="120"/>
      </w:pPr>
      <w:r>
        <w:rPr>
          <w:sz w:val="18"/>
          <w:szCs w:val="18"/>
        </w:rPr>
        <w:t xml:space="preserve">sarah.whitfield@whitfieldcarter.com</w:t>
      </w:r>
    </w:p>
    <w:p>
      <w:pPr>
        <w:pBdr>
          <w:top w:val="single" w:color="CCCCCC" w:sz="4" w:space="2"/>
        </w:pBdr>
        <w:spacing w:before="480"/>
      </w:pPr>
      <w:r>
        <w:rPr>
          <w:i/>
          <w:iCs/>
        </w:rPr>
        <w:t xml:space="preserve">Acknowledged and agreed for and on behalf of Calderwell Mobility Limited:</w:t>
      </w:r>
    </w:p>
    <w:p>
      <w:pPr>
        <w:spacing w:before="300"/>
      </w:pPr>
      <w:r>
        <w:t xml:space="preserve">Signature: ......................................................</w:t>
      </w:r>
    </w:p>
    <w:p>
      <w:pPr>
        <w:spacing w:after="120"/>
      </w:pPr>
      <w:r>
        <w:t xml:space="preserve">Name: Dr Daniel Calderwell</w:t>
      </w:r>
    </w:p>
    <w:p>
      <w:pPr>
        <w:spacing w:after="120"/>
      </w:pPr>
      <w:r>
        <w:t xml:space="preserve">Title: Chief Executive Officer       Date: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888888"/>
        <w:sz w:val="15"/>
        <w:szCs w:val="15"/>
      </w:rPr>
      <w:t xml:space="preserve">WC-00185 / Project Tempest  —  Confidential and may be legally privileged.</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F4E5F"/>
        <w:sz w:val="30"/>
        <w:szCs w:val="30"/>
      </w:rPr>
      <w:t xml:space="preserve">Whitfield Carter LLP</w:t>
    </w:r>
  </w:p>
  <w:p>
    <w:pPr>
      <w:pBdr>
        <w:bottom w:val="single" w:color="1F4E5F" w:sz="6" w:space="2"/>
      </w:pBdr>
      <w:spacing w:after="200"/>
    </w:pPr>
    <w:r>
      <w:rPr>
        <w:color w:val="666666"/>
        <w:sz w:val="16"/>
        <w:szCs w:val="16"/>
      </w:rPr>
      <w:t xml:space="preserve">22 Bishopsgate, London EC2N 4BQ  •  www.whitfieldcarter.com  •  +44 (0)20 7946 0500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432"/>
      </w:pPr>
    </w:lvl>
  </w:abstractNum>
  <w:abstractNum w:abstractNumId="4" w15:restartNumberingAfterBreak="0">
    <w:multiLevelType w:val="hybridMultilevel"/>
    <w:lvl w:ilvl="0" w15:tentative="1">
      <w:start w:val="1"/>
      <w:numFmt w:val="lowerRoman"/>
      <w:lvlText w:val="(%1)"/>
      <w:lvlJc w:val="righ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60"/>
      <w:outlineLvl w:val="0"/>
    </w:pPr>
    <w:rPr>
      <w:rFonts w:ascii="Arial" w:cs="Arial" w:eastAsia="Arial" w:hAnsi="Arial"/>
      <w:b/>
      <w:bCs/>
      <w:color w:val="1F4E5F"/>
      <w:sz w:val="26"/>
      <w:szCs w:val="26"/>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2026-06-29T18:53:33.998Z</dcterms:created>
  <dcterms:modified xsi:type="dcterms:W3CDTF">2026-06-29T18:53:33.999Z</dcterms:modified>
</cp:coreProperties>
</file>

<file path=docProps/custom.xml><?xml version="1.0" encoding="utf-8"?>
<Properties xmlns="http://schemas.openxmlformats.org/officeDocument/2006/custom-properties" xmlns:vt="http://schemas.openxmlformats.org/officeDocument/2006/docPropsVTypes"/>
</file>