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0"/>
          <w:szCs w:val="20"/>
        </w:rPr>
        <w:t xml:space="preserve">DATED 30 JANUARY 2026</w:t>
      </w:r>
    </w:p>
    <w:p>
      <w:pPr>
        <w:spacing w:after="60" w:before="400"/>
        <w:jc w:val="center"/>
      </w:pPr>
      <w:r>
        <w:rPr>
          <w:b/>
          <w:bCs/>
          <w:color w:val="1F4E5F"/>
          <w:sz w:val="30"/>
          <w:szCs w:val="30"/>
        </w:rPr>
        <w:t xml:space="preserve">INVESTOR RIGHTS AGREEMENT</w:t>
      </w:r>
    </w:p>
    <w:p>
      <w:pPr>
        <w:spacing w:after="600"/>
        <w:jc w:val="center"/>
      </w:pPr>
      <w:r>
        <w:rPr>
          <w:sz w:val="22"/>
          <w:szCs w:val="22"/>
        </w:rPr>
        <w:t xml:space="preserve">relating to Calderwell Mobility Limited</w:t>
      </w:r>
    </w:p>
    <w:p>
      <w:r>
        <w:br w:type="page"/>
      </w:r>
    </w:p>
    <w:p>
      <w:pPr>
        <w:pStyle w:val="Heading1"/>
      </w:pPr>
      <w:r>
        <w:t xml:space="preserve">Parties</w:t>
      </w:r>
    </w:p>
    <w:p>
      <w:pPr>
        <w:pStyle w:val="ListParagraph"/>
        <w:numPr>
          <w:ilvl w:val="0"/>
          <w:numId w:val="2"/>
        </w:numPr>
        <w:spacing w:after="80"/>
      </w:pPr>
      <w:r>
        <w:t xml:space="preserve">CALDERWELL MOBILITY LIMITED (the “Company”);</w:t>
      </w:r>
    </w:p>
    <w:p>
      <w:pPr>
        <w:pStyle w:val="ListParagraph"/>
        <w:numPr>
          <w:ilvl w:val="0"/>
          <w:numId w:val="2"/>
        </w:numPr>
        <w:spacing w:after="80"/>
      </w:pPr>
      <w:r>
        <w:t xml:space="preserve">MARISDALE GROWTH PARTNERS LLP (the “Lead Investor”); and</w:t>
      </w:r>
    </w:p>
    <w:p>
      <w:pPr>
        <w:pStyle w:val="ListParagraph"/>
        <w:numPr>
          <w:ilvl w:val="0"/>
          <w:numId w:val="2"/>
        </w:numPr>
        <w:spacing w:after="80"/>
      </w:pPr>
      <w:r>
        <w:t xml:space="preserve">THE OTHER INVESTORS named in the Schedule (together with the Lead Investor, the “Investors”).</w:t>
      </w:r>
    </w:p>
    <w:p>
      <w:pPr>
        <w:pStyle w:val="Heading1"/>
      </w:pPr>
      <w:r>
        <w:t xml:space="preserve">Background</w:t>
      </w:r>
    </w:p>
    <w:p>
      <w:pPr>
        <w:spacing w:after="120"/>
      </w:pPr>
      <w:r>
        <w:t xml:space="preserve">This Agreement is entered into in connection with, and is conditional on completion of, the Series B Subscription and Shareholders’ Agreement of the same date. It sets out certain ongoing rights of the Investors that supplement the Articles.</w:t>
      </w:r>
    </w:p>
    <w:p>
      <w:pPr>
        <w:pStyle w:val="Heading1"/>
      </w:pPr>
      <w:r>
        <w:t xml:space="preserve">1.  Definitions</w:t>
      </w:r>
    </w:p>
    <w:p>
      <w:pPr>
        <w:spacing w:after="80"/>
        <w:ind w:left="600" w:hanging="600"/>
      </w:pPr>
      <w:r>
        <w:rPr>
          <w:b/>
          <w:bCs/>
        </w:rPr>
        <w:t xml:space="preserve">“Qualifying Holding”</w:t>
      </w:r>
      <w:r>
        <w:t xml:space="preserve">  a holding by an Investor (with its affiliates) of not less than 3% of the fully diluted share capital;</w:t>
      </w:r>
    </w:p>
    <w:p>
      <w:pPr>
        <w:spacing w:after="80"/>
        <w:ind w:left="600" w:hanging="600"/>
      </w:pPr>
      <w:r>
        <w:rPr>
          <w:b/>
          <w:bCs/>
        </w:rPr>
        <w:t xml:space="preserve">“Qualifying IPO”</w:t>
      </w:r>
      <w:r>
        <w:t xml:space="preserve">  an admission of the Company’s shares to trading on a recognised investment exchange raising gross proceeds of at least £50,000,000 at a pre-money valuation of at least £150,000,000;</w:t>
      </w:r>
    </w:p>
    <w:p>
      <w:pPr>
        <w:spacing w:after="80"/>
        <w:ind w:left="600" w:hanging="600"/>
      </w:pPr>
      <w:r>
        <w:rPr>
          <w:b/>
          <w:bCs/>
        </w:rPr>
        <w:t xml:space="preserve">“Registrable Shares”</w:t>
      </w:r>
      <w:r>
        <w:t xml:space="preserve">  the Ordinary Shares issued or issuable on conversion of the Series B Shares.</w:t>
      </w:r>
    </w:p>
    <w:p>
      <w:pPr>
        <w:pStyle w:val="Heading1"/>
      </w:pPr>
      <w:r>
        <w:t xml:space="preserve">2.  Information rights</w:t>
      </w:r>
    </w:p>
    <w:p>
      <w:pPr>
        <w:spacing w:after="90"/>
        <w:ind w:left="600" w:hanging="600"/>
      </w:pPr>
      <w:r>
        <w:t xml:space="preserve">2.1	</w:t>
      </w:r>
      <w:r>
        <w:t xml:space="preserve">For so long as an Investor has a Qualifying Holding, the Company will provide to that Investor: (a) monthly management accounts within 20 Business Days of month end; (b) an annual board-approved budget at least 30 days before the start of each financial year; (c) audited annual accounts within four months of the year end; and (d) such other information as the Investor reasonably requires to comply with its own reporting or regulatory obligations.</w:t>
      </w:r>
    </w:p>
    <w:p>
      <w:pPr>
        <w:spacing w:after="90"/>
        <w:ind w:left="600" w:hanging="600"/>
      </w:pPr>
      <w:r>
        <w:t xml:space="preserve">2.2	</w:t>
      </w:r>
      <w:r>
        <w:t xml:space="preserve">The Lead Investor and its representatives may, on reasonable notice, inspect the Company’s books and records and discuss its affairs with management.</w:t>
      </w:r>
    </w:p>
    <w:p>
      <w:pPr>
        <w:pStyle w:val="Heading1"/>
      </w:pPr>
      <w:r>
        <w:t xml:space="preserve">3.  Pre-emption on new issues</w:t>
      </w:r>
    </w:p>
    <w:p>
      <w:pPr>
        <w:spacing w:after="90"/>
        <w:ind w:left="600" w:hanging="600"/>
      </w:pPr>
      <w:r>
        <w:t xml:space="preserve">3.1	</w:t>
      </w:r>
      <w:r>
        <w:t xml:space="preserve">Save in respect of Excluded Issues, the Company will not issue Equity Securities unless it first offers them to the holders of Preferred Shares pro rata to their holdings, on the same terms, by written notice giving not less than 15 Business Days to accept.</w:t>
      </w:r>
    </w:p>
    <w:p>
      <w:pPr>
        <w:spacing w:after="90"/>
        <w:ind w:left="600" w:hanging="600"/>
      </w:pPr>
      <w:r>
        <w:t xml:space="preserve">3.2	</w:t>
      </w:r>
      <w:r>
        <w:t xml:space="preserve">Any securities not taken up may be offered to other shareholders or, within 90 days, to third parties on terms no more favourable than those offered to the existing holders.</w:t>
      </w:r>
    </w:p>
    <w:p>
      <w:pPr>
        <w:pStyle w:val="Heading1"/>
      </w:pPr>
      <w:r>
        <w:t xml:space="preserve">4.  Anti-dilution and conversion mechanics</w:t>
      </w:r>
    </w:p>
    <w:p>
      <w:pPr>
        <w:spacing w:after="90"/>
        <w:ind w:left="600" w:hanging="600"/>
      </w:pPr>
      <w:r>
        <w:t xml:space="preserve">4.1	</w:t>
      </w:r>
      <w:r>
        <w:t xml:space="preserve">The Investors have the benefit of the broad-based weighted-average anti-dilution adjustment, and the conversion and automatic-conversion rights, set out in the Articles. The Company will give effect to any adjustment by issuing bonus shares or adjusting the conversion rate as provided in the Articles.</w:t>
      </w:r>
    </w:p>
    <w:p>
      <w:pPr>
        <w:pStyle w:val="Heading1"/>
      </w:pPr>
      <w:r>
        <w:t xml:space="preserve">5.  Registration / IPO co-operation</w:t>
      </w:r>
    </w:p>
    <w:p>
      <w:pPr>
        <w:spacing w:after="90"/>
        <w:ind w:left="600" w:hanging="600"/>
      </w:pPr>
      <w:r>
        <w:t xml:space="preserve">5.1	</w:t>
      </w:r>
      <w:r>
        <w:t xml:space="preserve">On a Qualifying IPO the Company will use reasonable endeavours to procure that the Registrable Shares may be sold, subject to customary lock-up arrangements (not exceeding 180 days) and the reasonable requirements of the sponsor or underwriters.</w:t>
      </w:r>
    </w:p>
    <w:p>
      <w:pPr>
        <w:pStyle w:val="Heading1"/>
      </w:pPr>
      <w:r>
        <w:t xml:space="preserve">6.  Drag-along and tag-along</w:t>
      </w:r>
    </w:p>
    <w:p>
      <w:pPr>
        <w:spacing w:after="90"/>
        <w:ind w:left="600" w:hanging="600"/>
      </w:pPr>
      <w:r>
        <w:t xml:space="preserve">6.1	</w:t>
      </w:r>
      <w:r>
        <w:t xml:space="preserve">If holders of not less than 60% of the shares (as converted), including the Investor Director, approve a bona fide arm’s-length sale of the Company, the remaining shareholders are required to sell on the same terms (drag-along).</w:t>
      </w:r>
    </w:p>
    <w:p>
      <w:pPr>
        <w:spacing w:after="90"/>
        <w:ind w:left="600" w:hanging="600"/>
      </w:pPr>
      <w:r>
        <w:t xml:space="preserve">6.2	</w:t>
      </w:r>
      <w:r>
        <w:t xml:space="preserve">No shareholder may transfer shares to a third-party buyer unless the buyer offers to acquire a proportionate number of each other shareholder’s shares on the same terms (tag-along).</w:t>
      </w:r>
    </w:p>
    <w:p>
      <w:pPr>
        <w:pStyle w:val="Heading1"/>
      </w:pPr>
      <w:r>
        <w:t xml:space="preserve">7.  Most-favoured-nation</w:t>
      </w:r>
    </w:p>
    <w:p>
      <w:pPr>
        <w:spacing w:after="90"/>
        <w:ind w:left="600" w:hanging="600"/>
      </w:pPr>
      <w:r>
        <w:t xml:space="preserve">7.1	</w:t>
      </w:r>
      <w:r>
        <w:t xml:space="preserve">If the Company grants to any future investor rights more favourable than those granted to the Investors under this Agreement, it will offer equivalent rights to the Lead Investor.</w:t>
      </w:r>
    </w:p>
    <w:p>
      <w:pPr>
        <w:pStyle w:val="Heading1"/>
      </w:pPr>
      <w:r>
        <w:t xml:space="preserve">8.  Term, confidentiality and governing law</w:t>
      </w:r>
    </w:p>
    <w:p>
      <w:pPr>
        <w:spacing w:after="90"/>
        <w:ind w:left="600" w:hanging="600"/>
      </w:pPr>
      <w:r>
        <w:t xml:space="preserve">8.1	</w:t>
      </w:r>
      <w:r>
        <w:t xml:space="preserve">This Agreement terminates on a Qualifying IPO or a sale of the Company, save for accrued rights. The confidentiality provisions of the Subscription Agreement apply equally to this Agreement.</w:t>
      </w:r>
    </w:p>
    <w:p>
      <w:pPr>
        <w:spacing w:after="90"/>
        <w:ind w:left="600" w:hanging="600"/>
      </w:pPr>
      <w:r>
        <w:t xml:space="preserve">8.2	</w:t>
      </w:r>
      <w:r>
        <w:t xml:space="preserve">This Agreement is governed by English law and the parties submit to the exclusive jurisdiction of the English courts.</w:t>
      </w:r>
    </w:p>
    <w:p>
      <w:pPr>
        <w:spacing w:before="360"/>
      </w:pPr>
      <w:r>
        <w:rPr>
          <w:b/>
          <w:bCs/>
        </w:rPr>
        <w:t xml:space="preserve">EXECUTED as a deed by the parties.</w:t>
      </w:r>
    </w:p>
    <w:p>
      <w:pPr>
        <w:spacing w:after="120"/>
      </w:pPr>
      <w:r>
        <w:t xml:space="preserve">Signed for Calderwell Mobility Limited:  ...................................   Director</w:t>
      </w:r>
    </w:p>
    <w:p>
      <w:pPr>
        <w:spacing w:after="120"/>
      </w:pPr>
      <w:r>
        <w:t xml:space="preserve">Signed for Marisdale Growth Partners LLP:  ...................................   </w:t>
      </w:r>
    </w:p>
    <w:p>
      <w:pPr>
        <w:spacing w:after="120"/>
      </w:pPr>
      <w:r>
        <w:t xml:space="preserve">Signed for Westbridge Growth Capital LLP:  ...................................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color w:val="888888"/>
        <w:sz w:val="15"/>
        <w:szCs w:val="15"/>
      </w:rPr>
      <w:t xml:space="preserve">WC-00185 / Project Tempest — Investor Rights Agreement  —  Confidential and may be legally privileged.</w:t>
    </w:r>
    <w:r>
      <w:rPr>
        <w:color w:val="888888"/>
        <w:sz w:val="15"/>
        <w:szCs w:val="15"/>
      </w:rPr>
      <w:t xml:space="preserve">	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F4E5F"/>
        <w:sz w:val="30"/>
        <w:szCs w:val="30"/>
      </w:rPr>
      <w:t xml:space="preserve">Whitfield Carter LLP</w:t>
    </w:r>
  </w:p>
  <w:p>
    <w:pPr>
      <w:pBdr>
        <w:bottom w:val="single" w:color="1F4E5F" w:sz="6" w:space="2"/>
      </w:pBdr>
      <w:spacing w:after="200"/>
    </w:pPr>
    <w:r>
      <w:rPr>
        <w:color w:val="666666"/>
        <w:sz w:val="16"/>
        <w:szCs w:val="16"/>
      </w:rPr>
      <w:t xml:space="preserve">22 Bishopsgate, London EC2N 4BQ  •  www.whitfieldcarter.com  •  +44 (0)20 7946 0500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432"/>
      </w:pPr>
    </w:lvl>
  </w:abstractNum>
  <w:abstractNum w:abstractNumId="4" w15:restartNumberingAfterBreak="0">
    <w:multiLevelType w:val="hybridMultilevel"/>
    <w:lvl w:ilvl="0" w15:tentative="1">
      <w:start w:val="1"/>
      <w:numFmt w:val="lowerRoman"/>
      <w:lvlText w:val="(%1)"/>
      <w:lvlJc w:val="right"/>
      <w:pPr>
        <w:ind w:left="14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60"/>
      <w:outlineLvl w:val="0"/>
    </w:pPr>
    <w:rPr>
      <w:rFonts w:ascii="Arial" w:cs="Arial" w:eastAsia="Arial" w:hAnsi="Arial"/>
      <w:b/>
      <w:bCs/>
      <w:color w:val="1F4E5F"/>
      <w:sz w:val="26"/>
      <w:szCs w:val="26"/>
    </w:rPr>
  </w:style>
  <w:style w:type="paragraph" w:styleId="Heading2">
    <w:name w:val="Heading 2"/>
    <w:basedOn w:val="Normal"/>
    <w:next w:val="Normal"/>
    <w:qFormat/>
    <w:pPr>
      <w:keepNext/>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2026-06-29T18:53:34.335Z</dcterms:created>
  <dcterms:modified xsi:type="dcterms:W3CDTF">2026-06-29T18:53:34.336Z</dcterms:modified>
</cp:coreProperties>
</file>

<file path=docProps/custom.xml><?xml version="1.0" encoding="utf-8"?>
<Properties xmlns="http://schemas.openxmlformats.org/officeDocument/2006/custom-properties" xmlns:vt="http://schemas.openxmlformats.org/officeDocument/2006/docPropsVTypes"/>
</file>